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82C" w:rsidRDefault="004B782C" w:rsidP="004B782C">
      <w:pPr>
        <w:pStyle w:val="Default"/>
      </w:pPr>
    </w:p>
    <w:p w:rsidR="004B782C" w:rsidRPr="002A59E4" w:rsidRDefault="004B782C" w:rsidP="002A59E4">
      <w:pPr>
        <w:pStyle w:val="Heading2"/>
      </w:pPr>
      <w:r w:rsidRPr="002A59E4">
        <w:t xml:space="preserve">External service Providers </w:t>
      </w:r>
    </w:p>
    <w:p w:rsidR="004B782C" w:rsidRPr="002A59E4" w:rsidRDefault="004B782C" w:rsidP="004B782C">
      <w:pPr>
        <w:pStyle w:val="Default"/>
        <w:rPr>
          <w:rFonts w:asciiTheme="minorHAnsi" w:hAnsiTheme="minorHAnsi"/>
          <w:sz w:val="22"/>
          <w:szCs w:val="22"/>
        </w:rPr>
      </w:pPr>
      <w:r w:rsidRPr="002A59E4">
        <w:rPr>
          <w:rFonts w:asciiTheme="minorHAnsi" w:hAnsiTheme="minorHAnsi"/>
          <w:sz w:val="22"/>
          <w:szCs w:val="22"/>
        </w:rPr>
        <w:t xml:space="preserve">Norges Bank purchases a number of services from external service providers. All contracts with external service providers have undergone thorough negotiations and are subject to legal quality assurance before they are signed. The main service providers are: </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b/>
          <w:bCs/>
          <w:iCs/>
          <w:sz w:val="22"/>
          <w:szCs w:val="22"/>
        </w:rPr>
        <w:t xml:space="preserve">External managers </w:t>
      </w:r>
    </w:p>
    <w:p w:rsidR="004B782C" w:rsidRPr="002A59E4" w:rsidRDefault="004B782C" w:rsidP="004B782C">
      <w:pPr>
        <w:pStyle w:val="Default"/>
        <w:rPr>
          <w:rFonts w:asciiTheme="minorHAnsi" w:hAnsiTheme="minorHAnsi"/>
          <w:sz w:val="22"/>
          <w:szCs w:val="22"/>
        </w:rPr>
      </w:pPr>
      <w:r w:rsidRPr="002A59E4">
        <w:rPr>
          <w:rFonts w:asciiTheme="minorHAnsi" w:hAnsiTheme="minorHAnsi"/>
          <w:sz w:val="22"/>
          <w:szCs w:val="22"/>
        </w:rPr>
        <w:t xml:space="preserve">The use of external managers is an important element of the investment strategy. We award investment mandates to organisations with expertise within clearly defined investment areas. We award external equity mandates in markets and segments where it is not practical or realistically possible to build internal expertise. For more information on our external managers, please see NBIM Annual report or </w:t>
      </w:r>
      <w:r w:rsidRPr="006E66E6">
        <w:rPr>
          <w:rFonts w:asciiTheme="minorHAnsi" w:hAnsiTheme="minorHAnsi"/>
          <w:sz w:val="22"/>
          <w:szCs w:val="22"/>
        </w:rPr>
        <w:t>www.nbim.no</w:t>
      </w:r>
      <w:r w:rsidRPr="002A59E4">
        <w:rPr>
          <w:rFonts w:asciiTheme="minorHAnsi" w:hAnsiTheme="minorHAnsi"/>
          <w:sz w:val="22"/>
          <w:szCs w:val="22"/>
        </w:rPr>
        <w:t xml:space="preserve"> </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b/>
          <w:bCs/>
          <w:iCs/>
          <w:sz w:val="22"/>
          <w:szCs w:val="22"/>
        </w:rPr>
        <w:t xml:space="preserve">Custody and clearing of securities </w:t>
      </w:r>
    </w:p>
    <w:p w:rsidR="004B782C" w:rsidRPr="002A59E4" w:rsidRDefault="004B782C" w:rsidP="00D92E7D">
      <w:pPr>
        <w:pStyle w:val="Default"/>
        <w:rPr>
          <w:rFonts w:asciiTheme="minorHAnsi" w:hAnsiTheme="minorHAnsi"/>
          <w:sz w:val="22"/>
          <w:szCs w:val="22"/>
        </w:rPr>
      </w:pPr>
      <w:proofErr w:type="spellStart"/>
      <w:r w:rsidRPr="002A59E4">
        <w:rPr>
          <w:rFonts w:asciiTheme="minorHAnsi" w:hAnsiTheme="minorHAnsi"/>
          <w:sz w:val="22"/>
          <w:szCs w:val="22"/>
        </w:rPr>
        <w:t>Norges</w:t>
      </w:r>
      <w:proofErr w:type="spellEnd"/>
      <w:r w:rsidRPr="002A59E4">
        <w:rPr>
          <w:rFonts w:asciiTheme="minorHAnsi" w:hAnsiTheme="minorHAnsi"/>
          <w:sz w:val="22"/>
          <w:szCs w:val="22"/>
        </w:rPr>
        <w:t xml:space="preserve"> Bank uses </w:t>
      </w:r>
      <w:r w:rsidR="00D92E7D">
        <w:rPr>
          <w:rFonts w:asciiTheme="minorHAnsi" w:hAnsiTheme="minorHAnsi"/>
          <w:sz w:val="22"/>
          <w:szCs w:val="22"/>
        </w:rPr>
        <w:t>one</w:t>
      </w:r>
      <w:r w:rsidRPr="002A59E4">
        <w:rPr>
          <w:rFonts w:asciiTheme="minorHAnsi" w:hAnsiTheme="minorHAnsi"/>
          <w:sz w:val="22"/>
          <w:szCs w:val="22"/>
        </w:rPr>
        <w:t xml:space="preserve"> global custodian</w:t>
      </w:r>
      <w:r w:rsidR="00D92E7D">
        <w:rPr>
          <w:rFonts w:asciiTheme="minorHAnsi" w:hAnsiTheme="minorHAnsi"/>
          <w:sz w:val="22"/>
          <w:szCs w:val="22"/>
        </w:rPr>
        <w:t xml:space="preserve"> </w:t>
      </w:r>
      <w:r w:rsidRPr="002A59E4">
        <w:rPr>
          <w:rFonts w:asciiTheme="minorHAnsi" w:hAnsiTheme="minorHAnsi"/>
          <w:sz w:val="22"/>
          <w:szCs w:val="22"/>
        </w:rPr>
        <w:t>for international payments and s</w:t>
      </w:r>
      <w:r w:rsidR="00D92E7D">
        <w:rPr>
          <w:rFonts w:asciiTheme="minorHAnsi" w:hAnsiTheme="minorHAnsi"/>
          <w:sz w:val="22"/>
          <w:szCs w:val="22"/>
        </w:rPr>
        <w:t xml:space="preserve">ecurities custody and clearing, </w:t>
      </w:r>
      <w:r w:rsidRPr="002A59E4">
        <w:rPr>
          <w:rFonts w:asciiTheme="minorHAnsi" w:hAnsiTheme="minorHAnsi"/>
          <w:sz w:val="22"/>
          <w:szCs w:val="22"/>
        </w:rPr>
        <w:t xml:space="preserve">JP Morgan Chase </w:t>
      </w:r>
      <w:r w:rsidR="00D92E7D">
        <w:rPr>
          <w:rFonts w:asciiTheme="minorHAnsi" w:hAnsiTheme="minorHAnsi"/>
          <w:sz w:val="22"/>
          <w:szCs w:val="22"/>
        </w:rPr>
        <w:t>Bank N.A.</w:t>
      </w:r>
      <w:r w:rsidR="00C113EB">
        <w:rPr>
          <w:rFonts w:asciiTheme="minorHAnsi" w:hAnsiTheme="minorHAnsi"/>
          <w:sz w:val="22"/>
          <w:szCs w:val="22"/>
        </w:rPr>
        <w:t xml:space="preserve"> </w:t>
      </w:r>
      <w:r w:rsidR="006D3F9A">
        <w:rPr>
          <w:rFonts w:asciiTheme="minorHAnsi" w:hAnsiTheme="minorHAnsi"/>
          <w:sz w:val="22"/>
          <w:szCs w:val="22"/>
        </w:rPr>
        <w:t>There is</w:t>
      </w:r>
      <w:r w:rsidR="00C113EB">
        <w:rPr>
          <w:rFonts w:asciiTheme="minorHAnsi" w:hAnsiTheme="minorHAnsi"/>
          <w:sz w:val="22"/>
          <w:szCs w:val="22"/>
        </w:rPr>
        <w:t xml:space="preserve"> a back-up global </w:t>
      </w:r>
      <w:r w:rsidR="001F55A6">
        <w:rPr>
          <w:rFonts w:asciiTheme="minorHAnsi" w:hAnsiTheme="minorHAnsi"/>
          <w:sz w:val="22"/>
          <w:szCs w:val="22"/>
        </w:rPr>
        <w:t>custody</w:t>
      </w:r>
      <w:r w:rsidR="00C113EB">
        <w:rPr>
          <w:rFonts w:asciiTheme="minorHAnsi" w:hAnsiTheme="minorHAnsi"/>
          <w:sz w:val="22"/>
          <w:szCs w:val="22"/>
        </w:rPr>
        <w:t xml:space="preserve"> solution </w:t>
      </w:r>
      <w:r w:rsidR="001F55A6">
        <w:rPr>
          <w:rFonts w:asciiTheme="minorHAnsi" w:hAnsiTheme="minorHAnsi"/>
          <w:sz w:val="22"/>
          <w:szCs w:val="22"/>
        </w:rPr>
        <w:t xml:space="preserve">in place </w:t>
      </w:r>
      <w:r w:rsidR="00C113EB">
        <w:rPr>
          <w:rFonts w:asciiTheme="minorHAnsi" w:hAnsiTheme="minorHAnsi"/>
          <w:sz w:val="22"/>
          <w:szCs w:val="22"/>
        </w:rPr>
        <w:t>with Citibank N.A.</w:t>
      </w:r>
      <w:r w:rsidR="001F55A6">
        <w:rPr>
          <w:rFonts w:asciiTheme="minorHAnsi" w:hAnsiTheme="minorHAnsi"/>
          <w:sz w:val="22"/>
          <w:szCs w:val="22"/>
        </w:rPr>
        <w:t xml:space="preserve"> </w:t>
      </w:r>
    </w:p>
    <w:p w:rsidR="004B782C" w:rsidRDefault="004B782C" w:rsidP="004B782C">
      <w:pPr>
        <w:pStyle w:val="Default"/>
        <w:rPr>
          <w:rFonts w:asciiTheme="minorHAnsi" w:hAnsiTheme="minorHAnsi"/>
          <w:sz w:val="22"/>
          <w:szCs w:val="22"/>
        </w:rPr>
      </w:pPr>
    </w:p>
    <w:p w:rsidR="00666C77" w:rsidRDefault="00666C77" w:rsidP="00666C77">
      <w:pPr>
        <w:pStyle w:val="Default"/>
        <w:rPr>
          <w:rFonts w:ascii="Calibri" w:hAnsi="Calibri" w:cs="Calibri"/>
          <w:sz w:val="22"/>
          <w:szCs w:val="22"/>
        </w:rPr>
      </w:pPr>
      <w:r>
        <w:rPr>
          <w:rFonts w:ascii="Calibri" w:hAnsi="Calibri" w:cs="Calibri"/>
          <w:b/>
          <w:bCs/>
          <w:sz w:val="22"/>
          <w:szCs w:val="22"/>
        </w:rPr>
        <w:t xml:space="preserve">Transaction settlement with counterparties </w:t>
      </w:r>
    </w:p>
    <w:p w:rsidR="00666C77" w:rsidRDefault="00666C77" w:rsidP="00666C77">
      <w:pPr>
        <w:pStyle w:val="Default"/>
        <w:rPr>
          <w:rFonts w:ascii="Calibri" w:hAnsi="Calibri" w:cs="Calibri"/>
          <w:sz w:val="22"/>
          <w:szCs w:val="22"/>
        </w:rPr>
      </w:pPr>
      <w:proofErr w:type="spellStart"/>
      <w:r>
        <w:rPr>
          <w:rFonts w:ascii="Calibri" w:hAnsi="Calibri" w:cs="Calibri"/>
          <w:sz w:val="22"/>
          <w:szCs w:val="22"/>
        </w:rPr>
        <w:t>Norges</w:t>
      </w:r>
      <w:proofErr w:type="spellEnd"/>
      <w:r>
        <w:rPr>
          <w:rFonts w:ascii="Calibri" w:hAnsi="Calibri" w:cs="Calibri"/>
          <w:sz w:val="22"/>
          <w:szCs w:val="22"/>
        </w:rPr>
        <w:t xml:space="preserve"> Bank purchases </w:t>
      </w:r>
      <w:r w:rsidR="00C113EB">
        <w:rPr>
          <w:rFonts w:ascii="Calibri" w:hAnsi="Calibri" w:cs="Calibri"/>
          <w:sz w:val="22"/>
          <w:szCs w:val="22"/>
        </w:rPr>
        <w:t xml:space="preserve">back-/middle-office settlement and portfolio accounting </w:t>
      </w:r>
      <w:r>
        <w:rPr>
          <w:rFonts w:ascii="Calibri" w:hAnsi="Calibri" w:cs="Calibri"/>
          <w:sz w:val="22"/>
          <w:szCs w:val="22"/>
        </w:rPr>
        <w:t xml:space="preserve">services from State Street Corporation for the internally managed </w:t>
      </w:r>
      <w:r w:rsidR="00D92E7D">
        <w:rPr>
          <w:rFonts w:ascii="Calibri" w:hAnsi="Calibri" w:cs="Calibri"/>
          <w:sz w:val="22"/>
          <w:szCs w:val="22"/>
        </w:rPr>
        <w:t xml:space="preserve">equity </w:t>
      </w:r>
      <w:r>
        <w:rPr>
          <w:rFonts w:ascii="Calibri" w:hAnsi="Calibri" w:cs="Calibri"/>
          <w:sz w:val="22"/>
          <w:szCs w:val="22"/>
        </w:rPr>
        <w:t xml:space="preserve">portfolios. </w:t>
      </w:r>
      <w:proofErr w:type="spellStart"/>
      <w:r>
        <w:rPr>
          <w:rFonts w:ascii="Calibri" w:hAnsi="Calibri" w:cs="Calibri"/>
          <w:sz w:val="22"/>
          <w:szCs w:val="22"/>
        </w:rPr>
        <w:t>Norges</w:t>
      </w:r>
      <w:proofErr w:type="spellEnd"/>
      <w:r>
        <w:rPr>
          <w:rFonts w:ascii="Calibri" w:hAnsi="Calibri" w:cs="Calibri"/>
          <w:sz w:val="22"/>
          <w:szCs w:val="22"/>
        </w:rPr>
        <w:t xml:space="preserve"> Bank uses</w:t>
      </w:r>
      <w:r>
        <w:rPr>
          <w:rFonts w:ascii="Calibri" w:hAnsi="Calibri" w:cs="Calibri"/>
          <w:color w:val="1F497D"/>
          <w:sz w:val="22"/>
          <w:szCs w:val="22"/>
        </w:rPr>
        <w:t xml:space="preserve"> </w:t>
      </w:r>
      <w:r w:rsidRPr="00666C77">
        <w:rPr>
          <w:rFonts w:ascii="Calibri" w:hAnsi="Calibri" w:cs="Calibri"/>
          <w:color w:val="auto"/>
          <w:sz w:val="22"/>
          <w:szCs w:val="22"/>
        </w:rPr>
        <w:t>Goldman Sachs and UBS as the main clearing brokers.</w:t>
      </w:r>
      <w:r>
        <w:rPr>
          <w:rFonts w:ascii="Calibri" w:hAnsi="Calibri" w:cs="Calibri"/>
          <w:sz w:val="22"/>
          <w:szCs w:val="22"/>
        </w:rPr>
        <w:t xml:space="preserve"> </w:t>
      </w:r>
    </w:p>
    <w:p w:rsidR="00666C77" w:rsidRDefault="00666C77" w:rsidP="00666C77">
      <w:pPr>
        <w:pStyle w:val="Default"/>
        <w:rPr>
          <w:rFonts w:ascii="Calibri" w:hAnsi="Calibri" w:cs="Calibri"/>
          <w:sz w:val="22"/>
          <w:szCs w:val="22"/>
        </w:rPr>
      </w:pPr>
    </w:p>
    <w:p w:rsidR="00666C77" w:rsidRDefault="00666C77" w:rsidP="00666C77">
      <w:pPr>
        <w:pStyle w:val="Default"/>
        <w:rPr>
          <w:rFonts w:ascii="Calibri" w:hAnsi="Calibri" w:cs="Calibri"/>
          <w:sz w:val="22"/>
          <w:szCs w:val="22"/>
        </w:rPr>
      </w:pPr>
      <w:r>
        <w:rPr>
          <w:rFonts w:ascii="Calibri" w:hAnsi="Calibri" w:cs="Calibri"/>
          <w:i/>
          <w:iCs/>
          <w:sz w:val="22"/>
          <w:szCs w:val="22"/>
        </w:rPr>
        <w:t xml:space="preserve">Performance measurement </w:t>
      </w:r>
    </w:p>
    <w:p w:rsidR="00666C77" w:rsidRDefault="00666C77" w:rsidP="00666C77">
      <w:pPr>
        <w:pStyle w:val="Default"/>
        <w:rPr>
          <w:rFonts w:ascii="Calibri" w:hAnsi="Calibri" w:cs="Calibri"/>
          <w:sz w:val="22"/>
          <w:szCs w:val="22"/>
        </w:rPr>
      </w:pPr>
      <w:r>
        <w:rPr>
          <w:rFonts w:ascii="Calibri" w:hAnsi="Calibri" w:cs="Calibri"/>
          <w:sz w:val="22"/>
          <w:szCs w:val="22"/>
        </w:rPr>
        <w:t xml:space="preserve">The return on the equity and fixed income portfolios is calculated using the performance system </w:t>
      </w:r>
      <w:proofErr w:type="spellStart"/>
      <w:r w:rsidRPr="00C9149E">
        <w:rPr>
          <w:rFonts w:ascii="Calibri" w:hAnsi="Calibri" w:cs="Calibri"/>
          <w:sz w:val="22"/>
          <w:szCs w:val="22"/>
        </w:rPr>
        <w:t>Statpro</w:t>
      </w:r>
      <w:proofErr w:type="spellEnd"/>
      <w:r w:rsidRPr="00C9149E">
        <w:rPr>
          <w:rFonts w:ascii="Calibri" w:hAnsi="Calibri" w:cs="Calibri"/>
          <w:sz w:val="22"/>
          <w:szCs w:val="22"/>
        </w:rPr>
        <w:t xml:space="preserve"> Performance and Attribution from</w:t>
      </w:r>
      <w:r>
        <w:rPr>
          <w:rFonts w:ascii="Calibri" w:hAnsi="Calibri" w:cs="Calibri"/>
          <w:sz w:val="22"/>
          <w:szCs w:val="22"/>
        </w:rPr>
        <w:t xml:space="preserve"> </w:t>
      </w:r>
      <w:proofErr w:type="spellStart"/>
      <w:r>
        <w:rPr>
          <w:rFonts w:ascii="Calibri" w:hAnsi="Calibri" w:cs="Calibri"/>
          <w:sz w:val="22"/>
          <w:szCs w:val="22"/>
        </w:rPr>
        <w:t>Statpro</w:t>
      </w:r>
      <w:proofErr w:type="spellEnd"/>
      <w:r>
        <w:rPr>
          <w:rFonts w:ascii="Calibri" w:hAnsi="Calibri" w:cs="Calibri"/>
          <w:sz w:val="22"/>
          <w:szCs w:val="22"/>
        </w:rPr>
        <w:t xml:space="preserve"> Group plc. </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b/>
          <w:bCs/>
          <w:iCs/>
          <w:sz w:val="22"/>
          <w:szCs w:val="22"/>
        </w:rPr>
        <w:t xml:space="preserve">Financial services </w:t>
      </w:r>
    </w:p>
    <w:p w:rsidR="004B782C" w:rsidRPr="002A59E4" w:rsidRDefault="001F55A6" w:rsidP="004B782C">
      <w:pPr>
        <w:pStyle w:val="Default"/>
        <w:rPr>
          <w:rFonts w:asciiTheme="minorHAnsi" w:hAnsiTheme="minorHAnsi"/>
          <w:sz w:val="22"/>
          <w:szCs w:val="22"/>
        </w:rPr>
      </w:pPr>
      <w:proofErr w:type="spellStart"/>
      <w:r>
        <w:rPr>
          <w:rFonts w:asciiTheme="minorHAnsi" w:hAnsiTheme="minorHAnsi"/>
          <w:sz w:val="22"/>
          <w:szCs w:val="22"/>
        </w:rPr>
        <w:t>Norges</w:t>
      </w:r>
      <w:proofErr w:type="spellEnd"/>
      <w:r>
        <w:rPr>
          <w:rFonts w:asciiTheme="minorHAnsi" w:hAnsiTheme="minorHAnsi"/>
          <w:sz w:val="22"/>
          <w:szCs w:val="22"/>
        </w:rPr>
        <w:t xml:space="preserve"> Bank</w:t>
      </w:r>
      <w:r w:rsidR="004B782C" w:rsidRPr="002A59E4">
        <w:rPr>
          <w:rFonts w:asciiTheme="minorHAnsi" w:hAnsiTheme="minorHAnsi"/>
          <w:sz w:val="22"/>
          <w:szCs w:val="22"/>
        </w:rPr>
        <w:t xml:space="preserve"> uses the </w:t>
      </w:r>
      <w:proofErr w:type="spellStart"/>
      <w:r w:rsidR="004B782C" w:rsidRPr="002A59E4">
        <w:rPr>
          <w:rFonts w:asciiTheme="minorHAnsi" w:hAnsiTheme="minorHAnsi"/>
          <w:sz w:val="22"/>
          <w:szCs w:val="22"/>
        </w:rPr>
        <w:t>Agresso</w:t>
      </w:r>
      <w:proofErr w:type="spellEnd"/>
      <w:r w:rsidR="004B782C" w:rsidRPr="002A59E4">
        <w:rPr>
          <w:rFonts w:asciiTheme="minorHAnsi" w:hAnsiTheme="minorHAnsi"/>
          <w:sz w:val="22"/>
          <w:szCs w:val="22"/>
        </w:rPr>
        <w:t xml:space="preserve"> ERP-system supplied by Unit4 Business Software as the system for internal accounting and reporting. Nordea Bank (Oslo) and HSBC (offices abroad) provide banking services. </w:t>
      </w:r>
    </w:p>
    <w:p w:rsidR="004B782C" w:rsidRPr="002A59E4" w:rsidRDefault="004B782C" w:rsidP="004B782C">
      <w:pPr>
        <w:pStyle w:val="Default"/>
        <w:rPr>
          <w:rFonts w:asciiTheme="minorHAnsi" w:hAnsiTheme="minorHAnsi"/>
          <w:sz w:val="22"/>
          <w:szCs w:val="22"/>
        </w:rPr>
      </w:pPr>
      <w:r w:rsidRPr="002A59E4">
        <w:rPr>
          <w:rFonts w:asciiTheme="minorHAnsi" w:hAnsiTheme="minorHAnsi"/>
          <w:sz w:val="22"/>
          <w:szCs w:val="22"/>
        </w:rPr>
        <w:t xml:space="preserve">JP Morgan Chase is responsible for the financial accounting of equity and fixed income investments. </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sz w:val="22"/>
          <w:szCs w:val="22"/>
        </w:rPr>
        <w:t xml:space="preserve">Deloitte AS serves as the Norges Bank appointed auditor. </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b/>
          <w:bCs/>
          <w:iCs/>
          <w:sz w:val="22"/>
          <w:szCs w:val="22"/>
        </w:rPr>
        <w:t xml:space="preserve">Benchmark </w:t>
      </w:r>
    </w:p>
    <w:p w:rsidR="004B782C" w:rsidRPr="002A59E4" w:rsidRDefault="004B782C" w:rsidP="004B782C">
      <w:pPr>
        <w:pStyle w:val="Default"/>
        <w:rPr>
          <w:rFonts w:asciiTheme="minorHAnsi" w:hAnsiTheme="minorHAnsi"/>
          <w:sz w:val="22"/>
          <w:szCs w:val="22"/>
        </w:rPr>
      </w:pPr>
      <w:r w:rsidRPr="002A59E4">
        <w:rPr>
          <w:rFonts w:asciiTheme="minorHAnsi" w:hAnsiTheme="minorHAnsi"/>
          <w:sz w:val="22"/>
          <w:szCs w:val="22"/>
        </w:rPr>
        <w:t>The fund</w:t>
      </w:r>
      <w:r w:rsidR="00D92E7D">
        <w:rPr>
          <w:rFonts w:asciiTheme="minorHAnsi" w:hAnsiTheme="minorHAnsi"/>
          <w:sz w:val="22"/>
          <w:szCs w:val="22"/>
        </w:rPr>
        <w:t>’</w:t>
      </w:r>
      <w:r w:rsidRPr="002A59E4">
        <w:rPr>
          <w:rFonts w:asciiTheme="minorHAnsi" w:hAnsiTheme="minorHAnsi"/>
          <w:sz w:val="22"/>
          <w:szCs w:val="22"/>
        </w:rPr>
        <w:t>s benchmark</w:t>
      </w:r>
      <w:r w:rsidR="00D92E7D">
        <w:rPr>
          <w:rFonts w:asciiTheme="minorHAnsi" w:hAnsiTheme="minorHAnsi"/>
          <w:sz w:val="22"/>
          <w:szCs w:val="22"/>
        </w:rPr>
        <w:t>s</w:t>
      </w:r>
      <w:r w:rsidRPr="002A59E4">
        <w:rPr>
          <w:rFonts w:asciiTheme="minorHAnsi" w:hAnsiTheme="minorHAnsi"/>
          <w:sz w:val="22"/>
          <w:szCs w:val="22"/>
        </w:rPr>
        <w:t xml:space="preserve"> </w:t>
      </w:r>
      <w:r w:rsidR="00D92E7D">
        <w:rPr>
          <w:rFonts w:asciiTheme="minorHAnsi" w:hAnsiTheme="minorHAnsi"/>
          <w:sz w:val="22"/>
          <w:szCs w:val="22"/>
        </w:rPr>
        <w:t>are</w:t>
      </w:r>
      <w:r w:rsidRPr="002A59E4">
        <w:rPr>
          <w:rFonts w:asciiTheme="minorHAnsi" w:hAnsiTheme="minorHAnsi"/>
          <w:sz w:val="22"/>
          <w:szCs w:val="22"/>
        </w:rPr>
        <w:t xml:space="preserve"> provided by: </w:t>
      </w:r>
    </w:p>
    <w:p w:rsidR="004B782C" w:rsidRPr="002A59E4" w:rsidRDefault="004B782C" w:rsidP="003A2DC7">
      <w:pPr>
        <w:pStyle w:val="Default"/>
        <w:numPr>
          <w:ilvl w:val="0"/>
          <w:numId w:val="4"/>
        </w:numPr>
        <w:spacing w:after="13"/>
        <w:rPr>
          <w:rFonts w:asciiTheme="minorHAnsi" w:hAnsiTheme="minorHAnsi"/>
          <w:sz w:val="22"/>
          <w:szCs w:val="22"/>
        </w:rPr>
      </w:pPr>
      <w:r w:rsidRPr="002A59E4">
        <w:rPr>
          <w:rFonts w:asciiTheme="minorHAnsi" w:hAnsiTheme="minorHAnsi"/>
          <w:sz w:val="22"/>
          <w:szCs w:val="22"/>
        </w:rPr>
        <w:t xml:space="preserve">FTSE International Ltd </w:t>
      </w:r>
      <w:r w:rsidR="001F55A6">
        <w:rPr>
          <w:rFonts w:asciiTheme="minorHAnsi" w:hAnsiTheme="minorHAnsi"/>
          <w:sz w:val="22"/>
          <w:szCs w:val="22"/>
        </w:rPr>
        <w:t xml:space="preserve">for the </w:t>
      </w:r>
      <w:r w:rsidRPr="002A59E4">
        <w:rPr>
          <w:rFonts w:asciiTheme="minorHAnsi" w:hAnsiTheme="minorHAnsi"/>
          <w:sz w:val="22"/>
          <w:szCs w:val="22"/>
        </w:rPr>
        <w:t xml:space="preserve">equity portfolio </w:t>
      </w:r>
    </w:p>
    <w:p w:rsidR="004B782C" w:rsidRPr="002A59E4" w:rsidRDefault="001F55A6" w:rsidP="003A2DC7">
      <w:pPr>
        <w:pStyle w:val="Default"/>
        <w:numPr>
          <w:ilvl w:val="0"/>
          <w:numId w:val="4"/>
        </w:numPr>
        <w:spacing w:after="13"/>
        <w:rPr>
          <w:rFonts w:asciiTheme="minorHAnsi" w:hAnsiTheme="minorHAnsi"/>
          <w:sz w:val="22"/>
          <w:szCs w:val="22"/>
        </w:rPr>
      </w:pPr>
      <w:r>
        <w:rPr>
          <w:rFonts w:asciiTheme="minorHAnsi" w:hAnsiTheme="minorHAnsi"/>
          <w:sz w:val="22"/>
          <w:szCs w:val="22"/>
        </w:rPr>
        <w:t xml:space="preserve">Barclays Capital Inc.  for the </w:t>
      </w:r>
      <w:r w:rsidR="004B782C" w:rsidRPr="002A59E4">
        <w:rPr>
          <w:rFonts w:asciiTheme="minorHAnsi" w:hAnsiTheme="minorHAnsi"/>
          <w:sz w:val="22"/>
          <w:szCs w:val="22"/>
        </w:rPr>
        <w:t xml:space="preserve">fixed income portfolio </w:t>
      </w:r>
    </w:p>
    <w:p w:rsidR="004B782C" w:rsidRPr="002A59E4" w:rsidRDefault="004B782C" w:rsidP="003A2DC7">
      <w:pPr>
        <w:pStyle w:val="Default"/>
        <w:numPr>
          <w:ilvl w:val="0"/>
          <w:numId w:val="4"/>
        </w:numPr>
        <w:rPr>
          <w:rFonts w:asciiTheme="minorHAnsi" w:hAnsiTheme="minorHAnsi"/>
          <w:sz w:val="22"/>
          <w:szCs w:val="22"/>
        </w:rPr>
      </w:pPr>
      <w:r w:rsidRPr="002A59E4">
        <w:rPr>
          <w:rFonts w:asciiTheme="minorHAnsi" w:hAnsiTheme="minorHAnsi"/>
          <w:sz w:val="22"/>
          <w:szCs w:val="22"/>
        </w:rPr>
        <w:t xml:space="preserve">IPD (Investment Property Databank) </w:t>
      </w:r>
      <w:r w:rsidR="001F55A6">
        <w:rPr>
          <w:rFonts w:asciiTheme="minorHAnsi" w:hAnsiTheme="minorHAnsi"/>
          <w:sz w:val="22"/>
          <w:szCs w:val="22"/>
        </w:rPr>
        <w:t xml:space="preserve">for the </w:t>
      </w:r>
      <w:r w:rsidRPr="002A59E4">
        <w:rPr>
          <w:rFonts w:asciiTheme="minorHAnsi" w:hAnsiTheme="minorHAnsi"/>
          <w:sz w:val="22"/>
          <w:szCs w:val="22"/>
        </w:rPr>
        <w:t xml:space="preserve">real estate portfolio </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b/>
          <w:bCs/>
          <w:iCs/>
          <w:sz w:val="22"/>
          <w:szCs w:val="22"/>
        </w:rPr>
        <w:t xml:space="preserve">Investment Market Data </w:t>
      </w:r>
    </w:p>
    <w:p w:rsidR="004B782C" w:rsidRPr="002A59E4" w:rsidRDefault="004B782C" w:rsidP="004B782C">
      <w:pPr>
        <w:pStyle w:val="Default"/>
        <w:rPr>
          <w:rFonts w:asciiTheme="minorHAnsi" w:hAnsiTheme="minorHAnsi"/>
          <w:sz w:val="22"/>
          <w:szCs w:val="22"/>
        </w:rPr>
      </w:pPr>
      <w:r w:rsidRPr="002A59E4">
        <w:rPr>
          <w:rFonts w:asciiTheme="minorHAnsi" w:hAnsiTheme="minorHAnsi"/>
          <w:sz w:val="22"/>
          <w:szCs w:val="22"/>
        </w:rPr>
        <w:t>The fund</w:t>
      </w:r>
      <w:r w:rsidR="001F55A6">
        <w:rPr>
          <w:rFonts w:asciiTheme="minorHAnsi" w:hAnsiTheme="minorHAnsi"/>
          <w:sz w:val="22"/>
          <w:szCs w:val="22"/>
        </w:rPr>
        <w:t>’</w:t>
      </w:r>
      <w:r w:rsidRPr="002A59E4">
        <w:rPr>
          <w:rFonts w:asciiTheme="minorHAnsi" w:hAnsiTheme="minorHAnsi"/>
          <w:sz w:val="22"/>
          <w:szCs w:val="22"/>
        </w:rPr>
        <w:t xml:space="preserve">s </w:t>
      </w:r>
      <w:r w:rsidR="00D92E7D">
        <w:rPr>
          <w:rFonts w:asciiTheme="minorHAnsi" w:hAnsiTheme="minorHAnsi"/>
          <w:sz w:val="22"/>
          <w:szCs w:val="22"/>
        </w:rPr>
        <w:t>Market D</w:t>
      </w:r>
      <w:r w:rsidRPr="002A59E4">
        <w:rPr>
          <w:rFonts w:asciiTheme="minorHAnsi" w:hAnsiTheme="minorHAnsi"/>
          <w:sz w:val="22"/>
          <w:szCs w:val="22"/>
        </w:rPr>
        <w:t xml:space="preserve">ata is provided </w:t>
      </w:r>
      <w:proofErr w:type="gramStart"/>
      <w:r w:rsidRPr="002A59E4">
        <w:rPr>
          <w:rFonts w:asciiTheme="minorHAnsi" w:hAnsiTheme="minorHAnsi"/>
          <w:sz w:val="22"/>
          <w:szCs w:val="22"/>
        </w:rPr>
        <w:t>by :</w:t>
      </w:r>
      <w:proofErr w:type="gramEnd"/>
      <w:r w:rsidRPr="002A59E4">
        <w:rPr>
          <w:rFonts w:asciiTheme="minorHAnsi" w:hAnsiTheme="minorHAnsi"/>
          <w:sz w:val="22"/>
          <w:szCs w:val="22"/>
        </w:rPr>
        <w:t xml:space="preserve"> </w:t>
      </w:r>
    </w:p>
    <w:p w:rsidR="004B782C" w:rsidRPr="002A59E4" w:rsidRDefault="004B782C" w:rsidP="003A2DC7">
      <w:pPr>
        <w:pStyle w:val="Default"/>
        <w:numPr>
          <w:ilvl w:val="0"/>
          <w:numId w:val="4"/>
        </w:numPr>
        <w:spacing w:after="10"/>
        <w:rPr>
          <w:rFonts w:asciiTheme="minorHAnsi" w:hAnsiTheme="minorHAnsi"/>
          <w:sz w:val="22"/>
          <w:szCs w:val="22"/>
        </w:rPr>
      </w:pPr>
      <w:r w:rsidRPr="002A59E4">
        <w:rPr>
          <w:rFonts w:asciiTheme="minorHAnsi" w:hAnsiTheme="minorHAnsi"/>
          <w:sz w:val="22"/>
          <w:szCs w:val="22"/>
        </w:rPr>
        <w:t xml:space="preserve">Bloomberg </w:t>
      </w:r>
    </w:p>
    <w:p w:rsidR="004B782C" w:rsidRPr="00D92E7D" w:rsidRDefault="001F55A6" w:rsidP="004B782C">
      <w:pPr>
        <w:pStyle w:val="Default"/>
        <w:numPr>
          <w:ilvl w:val="0"/>
          <w:numId w:val="4"/>
        </w:numPr>
        <w:rPr>
          <w:rFonts w:asciiTheme="minorHAnsi" w:hAnsiTheme="minorHAnsi"/>
          <w:sz w:val="22"/>
          <w:szCs w:val="22"/>
        </w:rPr>
      </w:pPr>
      <w:r>
        <w:rPr>
          <w:rFonts w:asciiTheme="minorHAnsi" w:hAnsiTheme="minorHAnsi"/>
          <w:sz w:val="22"/>
          <w:szCs w:val="22"/>
        </w:rPr>
        <w:t>Thom</w:t>
      </w:r>
      <w:r w:rsidR="004B782C" w:rsidRPr="002A59E4">
        <w:rPr>
          <w:rFonts w:asciiTheme="minorHAnsi" w:hAnsiTheme="minorHAnsi"/>
          <w:sz w:val="22"/>
          <w:szCs w:val="22"/>
        </w:rPr>
        <w:t xml:space="preserve">son Reuters </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b/>
          <w:bCs/>
          <w:iCs/>
          <w:sz w:val="22"/>
          <w:szCs w:val="22"/>
        </w:rPr>
        <w:t xml:space="preserve">Voting </w:t>
      </w:r>
    </w:p>
    <w:p w:rsidR="00A41A96" w:rsidRPr="002A59E4" w:rsidRDefault="00A41A96" w:rsidP="00A41A96">
      <w:pPr>
        <w:rPr>
          <w:rFonts w:asciiTheme="minorHAnsi" w:hAnsiTheme="minorHAnsi" w:cs="Univers 45 Light"/>
          <w:color w:val="000000"/>
        </w:rPr>
      </w:pPr>
      <w:r w:rsidRPr="002A59E4">
        <w:rPr>
          <w:rFonts w:asciiTheme="minorHAnsi" w:hAnsiTheme="minorHAnsi" w:cs="Univers 45 Light"/>
          <w:color w:val="000000"/>
        </w:rPr>
        <w:t>NBIMs proxy voting agent is Institutional Shareholder Services (ISS</w:t>
      </w:r>
      <w:r w:rsidR="00D92E7D">
        <w:rPr>
          <w:rFonts w:asciiTheme="minorHAnsi" w:hAnsiTheme="minorHAnsi" w:cs="Univers 45 Light"/>
          <w:color w:val="000000"/>
        </w:rPr>
        <w:t>)</w:t>
      </w:r>
      <w:r w:rsidRPr="002A59E4">
        <w:rPr>
          <w:rFonts w:asciiTheme="minorHAnsi" w:hAnsiTheme="minorHAnsi" w:cs="Univers 45 Light"/>
          <w:color w:val="000000"/>
        </w:rPr>
        <w:t xml:space="preserve">. ISS provides voting related research and voting recommendations to NBIM, and NBIM instruct on shareholder meetings via the </w:t>
      </w:r>
      <w:r w:rsidRPr="002A59E4">
        <w:rPr>
          <w:rFonts w:asciiTheme="minorHAnsi" w:hAnsiTheme="minorHAnsi" w:cs="Univers 45 Light"/>
          <w:color w:val="000000"/>
        </w:rPr>
        <w:lastRenderedPageBreak/>
        <w:t xml:space="preserve">ISS voting platform (ProxyExchange). </w:t>
      </w:r>
      <w:r w:rsidR="00D92E7D">
        <w:rPr>
          <w:rFonts w:asciiTheme="minorHAnsi" w:hAnsiTheme="minorHAnsi" w:cs="Univers 45 Light"/>
          <w:color w:val="000000"/>
        </w:rPr>
        <w:t>For the</w:t>
      </w:r>
      <w:r w:rsidRPr="002A59E4">
        <w:rPr>
          <w:rFonts w:asciiTheme="minorHAnsi" w:hAnsiTheme="minorHAnsi" w:cs="Univers 45 Light"/>
          <w:color w:val="000000"/>
        </w:rPr>
        <w:t xml:space="preserve"> shareholder meetings that are not instructed on by NBIM, ISS will vote according to a bespoke voting policy set by NBIM. </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b/>
          <w:bCs/>
          <w:iCs/>
          <w:sz w:val="22"/>
          <w:szCs w:val="22"/>
        </w:rPr>
        <w:t xml:space="preserve">Market Risk </w:t>
      </w:r>
    </w:p>
    <w:p w:rsidR="004B782C" w:rsidRPr="002A59E4" w:rsidRDefault="004B782C" w:rsidP="004B782C">
      <w:pPr>
        <w:pStyle w:val="Default"/>
        <w:rPr>
          <w:rFonts w:asciiTheme="minorHAnsi" w:hAnsiTheme="minorHAnsi"/>
          <w:sz w:val="22"/>
          <w:szCs w:val="22"/>
        </w:rPr>
      </w:pPr>
      <w:r w:rsidRPr="002A59E4">
        <w:rPr>
          <w:rFonts w:asciiTheme="minorHAnsi" w:hAnsiTheme="minorHAnsi"/>
          <w:sz w:val="22"/>
          <w:szCs w:val="22"/>
        </w:rPr>
        <w:t xml:space="preserve">The market risk in the portfolios is measured using the risk model </w:t>
      </w:r>
      <w:proofErr w:type="spellStart"/>
      <w:r w:rsidRPr="002A59E4">
        <w:rPr>
          <w:rFonts w:asciiTheme="minorHAnsi" w:hAnsiTheme="minorHAnsi"/>
          <w:sz w:val="22"/>
          <w:szCs w:val="22"/>
        </w:rPr>
        <w:t>RiskManager</w:t>
      </w:r>
      <w:proofErr w:type="spellEnd"/>
      <w:r w:rsidRPr="002A59E4">
        <w:rPr>
          <w:rFonts w:asciiTheme="minorHAnsi" w:hAnsiTheme="minorHAnsi"/>
          <w:sz w:val="22"/>
          <w:szCs w:val="22"/>
        </w:rPr>
        <w:t xml:space="preserve"> provided by </w:t>
      </w:r>
      <w:r w:rsidR="00A41A96" w:rsidRPr="002A59E4">
        <w:rPr>
          <w:rFonts w:asciiTheme="minorHAnsi" w:hAnsiTheme="minorHAnsi"/>
          <w:sz w:val="22"/>
          <w:szCs w:val="22"/>
        </w:rPr>
        <w:t xml:space="preserve">MSCI. </w:t>
      </w:r>
      <w:r w:rsidRPr="002A59E4">
        <w:rPr>
          <w:rFonts w:asciiTheme="minorHAnsi" w:hAnsiTheme="minorHAnsi"/>
          <w:sz w:val="22"/>
          <w:szCs w:val="22"/>
        </w:rPr>
        <w:t xml:space="preserve"> </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b/>
          <w:bCs/>
          <w:iCs/>
          <w:sz w:val="22"/>
          <w:szCs w:val="22"/>
        </w:rPr>
        <w:t xml:space="preserve">Real Estate Services </w:t>
      </w:r>
    </w:p>
    <w:p w:rsidR="004B782C" w:rsidRPr="002A59E4" w:rsidRDefault="00666C77" w:rsidP="004B782C">
      <w:pPr>
        <w:pStyle w:val="Default"/>
        <w:rPr>
          <w:rFonts w:asciiTheme="minorHAnsi" w:hAnsiTheme="minorHAnsi"/>
          <w:sz w:val="22"/>
          <w:szCs w:val="22"/>
        </w:rPr>
      </w:pPr>
      <w:r>
        <w:rPr>
          <w:rFonts w:asciiTheme="minorHAnsi" w:hAnsiTheme="minorHAnsi"/>
          <w:sz w:val="22"/>
          <w:szCs w:val="22"/>
        </w:rPr>
        <w:t xml:space="preserve">State Street </w:t>
      </w:r>
      <w:r w:rsidR="00FD706A">
        <w:rPr>
          <w:rFonts w:asciiTheme="minorHAnsi" w:hAnsiTheme="minorHAnsi"/>
          <w:sz w:val="22"/>
          <w:szCs w:val="22"/>
        </w:rPr>
        <w:t>Administration Services (UK) Ltd and </w:t>
      </w:r>
      <w:r w:rsidR="004B782C" w:rsidRPr="002A59E4">
        <w:rPr>
          <w:rFonts w:asciiTheme="minorHAnsi" w:hAnsiTheme="minorHAnsi"/>
          <w:sz w:val="22"/>
          <w:szCs w:val="22"/>
        </w:rPr>
        <w:t>its affiliates are responsible for providing administration a</w:t>
      </w:r>
      <w:r w:rsidR="00D92E7D">
        <w:rPr>
          <w:rFonts w:asciiTheme="minorHAnsi" w:hAnsiTheme="minorHAnsi"/>
          <w:sz w:val="22"/>
          <w:szCs w:val="22"/>
        </w:rPr>
        <w:t>nd accounting services for the Real E</w:t>
      </w:r>
      <w:r w:rsidR="004B782C" w:rsidRPr="002A59E4">
        <w:rPr>
          <w:rFonts w:asciiTheme="minorHAnsi" w:hAnsiTheme="minorHAnsi"/>
          <w:sz w:val="22"/>
          <w:szCs w:val="22"/>
        </w:rPr>
        <w:t>state portfolio entities.</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b/>
          <w:bCs/>
          <w:iCs/>
          <w:sz w:val="22"/>
          <w:szCs w:val="22"/>
        </w:rPr>
        <w:t xml:space="preserve">Credit ratings </w:t>
      </w:r>
    </w:p>
    <w:p w:rsidR="004B782C" w:rsidRPr="002A59E4" w:rsidRDefault="004B782C" w:rsidP="004B782C">
      <w:pPr>
        <w:pStyle w:val="Default"/>
        <w:rPr>
          <w:rFonts w:asciiTheme="minorHAnsi" w:hAnsiTheme="minorHAnsi"/>
          <w:sz w:val="22"/>
          <w:szCs w:val="22"/>
        </w:rPr>
      </w:pPr>
      <w:r w:rsidRPr="002A59E4">
        <w:rPr>
          <w:rFonts w:asciiTheme="minorHAnsi" w:hAnsiTheme="minorHAnsi"/>
          <w:sz w:val="22"/>
          <w:szCs w:val="22"/>
        </w:rPr>
        <w:t>The credit ratings of</w:t>
      </w:r>
      <w:r w:rsidR="00FD706A">
        <w:rPr>
          <w:rFonts w:asciiTheme="minorHAnsi" w:hAnsiTheme="minorHAnsi"/>
          <w:sz w:val="22"/>
          <w:szCs w:val="22"/>
        </w:rPr>
        <w:t xml:space="preserve"> the fixed income portfolio and </w:t>
      </w:r>
      <w:r w:rsidRPr="002A59E4">
        <w:rPr>
          <w:rFonts w:asciiTheme="minorHAnsi" w:hAnsiTheme="minorHAnsi"/>
          <w:sz w:val="22"/>
          <w:szCs w:val="22"/>
        </w:rPr>
        <w:t xml:space="preserve">counterparty exposures are based on deliveries from: </w:t>
      </w:r>
    </w:p>
    <w:p w:rsidR="004B782C" w:rsidRPr="002A59E4" w:rsidRDefault="004B782C" w:rsidP="003A2DC7">
      <w:pPr>
        <w:pStyle w:val="Default"/>
        <w:numPr>
          <w:ilvl w:val="0"/>
          <w:numId w:val="3"/>
        </w:numPr>
        <w:spacing w:after="10"/>
        <w:rPr>
          <w:rFonts w:asciiTheme="minorHAnsi" w:hAnsiTheme="minorHAnsi"/>
          <w:sz w:val="22"/>
          <w:szCs w:val="22"/>
        </w:rPr>
      </w:pPr>
      <w:r w:rsidRPr="002A59E4">
        <w:rPr>
          <w:rFonts w:asciiTheme="minorHAnsi" w:hAnsiTheme="minorHAnsi"/>
          <w:sz w:val="22"/>
          <w:szCs w:val="22"/>
        </w:rPr>
        <w:t xml:space="preserve">Fitch Ratings Ltd. </w:t>
      </w:r>
    </w:p>
    <w:p w:rsidR="004B782C" w:rsidRPr="002A59E4" w:rsidRDefault="004B782C" w:rsidP="003A2DC7">
      <w:pPr>
        <w:pStyle w:val="Default"/>
        <w:numPr>
          <w:ilvl w:val="0"/>
          <w:numId w:val="3"/>
        </w:numPr>
        <w:spacing w:after="10"/>
        <w:rPr>
          <w:rFonts w:asciiTheme="minorHAnsi" w:hAnsiTheme="minorHAnsi"/>
          <w:sz w:val="22"/>
          <w:szCs w:val="22"/>
        </w:rPr>
      </w:pPr>
      <w:r w:rsidRPr="002A59E4">
        <w:rPr>
          <w:rFonts w:asciiTheme="minorHAnsi" w:hAnsiTheme="minorHAnsi"/>
          <w:sz w:val="22"/>
          <w:szCs w:val="22"/>
        </w:rPr>
        <w:t xml:space="preserve">Moodys Corporation </w:t>
      </w:r>
    </w:p>
    <w:p w:rsidR="004B782C" w:rsidRPr="002A59E4" w:rsidRDefault="004B782C" w:rsidP="003A2DC7">
      <w:pPr>
        <w:pStyle w:val="Default"/>
        <w:numPr>
          <w:ilvl w:val="0"/>
          <w:numId w:val="3"/>
        </w:numPr>
        <w:rPr>
          <w:rFonts w:asciiTheme="minorHAnsi" w:hAnsiTheme="minorHAnsi"/>
          <w:sz w:val="22"/>
          <w:szCs w:val="22"/>
        </w:rPr>
      </w:pPr>
      <w:r w:rsidRPr="002A59E4">
        <w:rPr>
          <w:rFonts w:asciiTheme="minorHAnsi" w:hAnsiTheme="minorHAnsi"/>
          <w:sz w:val="22"/>
          <w:szCs w:val="22"/>
        </w:rPr>
        <w:t>Standard &amp; Poor</w:t>
      </w:r>
      <w:r w:rsidR="001F55A6">
        <w:rPr>
          <w:rFonts w:asciiTheme="minorHAnsi" w:hAnsiTheme="minorHAnsi"/>
          <w:sz w:val="22"/>
          <w:szCs w:val="22"/>
        </w:rPr>
        <w:t>’</w:t>
      </w:r>
      <w:r w:rsidRPr="002A59E4">
        <w:rPr>
          <w:rFonts w:asciiTheme="minorHAnsi" w:hAnsiTheme="minorHAnsi"/>
          <w:sz w:val="22"/>
          <w:szCs w:val="22"/>
        </w:rPr>
        <w:t xml:space="preserve">s Financial Services LLC </w:t>
      </w:r>
    </w:p>
    <w:p w:rsidR="004B782C" w:rsidRPr="002A59E4" w:rsidRDefault="004B782C"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r w:rsidRPr="002A59E4">
        <w:rPr>
          <w:rFonts w:asciiTheme="minorHAnsi" w:hAnsiTheme="minorHAnsi"/>
          <w:b/>
          <w:bCs/>
          <w:iCs/>
          <w:sz w:val="22"/>
          <w:szCs w:val="22"/>
        </w:rPr>
        <w:t xml:space="preserve">Operational risk, Control and Compliance </w:t>
      </w:r>
    </w:p>
    <w:p w:rsidR="004B782C" w:rsidRPr="002A59E4" w:rsidRDefault="004B782C" w:rsidP="004B782C">
      <w:pPr>
        <w:pStyle w:val="Default"/>
        <w:rPr>
          <w:rFonts w:asciiTheme="minorHAnsi" w:hAnsiTheme="minorHAnsi"/>
          <w:sz w:val="22"/>
          <w:szCs w:val="22"/>
        </w:rPr>
      </w:pPr>
      <w:r w:rsidRPr="002A59E4">
        <w:rPr>
          <w:rFonts w:asciiTheme="minorHAnsi" w:hAnsiTheme="minorHAnsi"/>
          <w:sz w:val="22"/>
          <w:szCs w:val="22"/>
        </w:rPr>
        <w:t xml:space="preserve">The control and compliance department uses various systems to manage operational risk, and make sure the organisation is compliant with investment guidelines. One of the systems used for handling operational risk is EasyRisk from Det Norske Veritas. </w:t>
      </w:r>
    </w:p>
    <w:p w:rsidR="00766959" w:rsidRPr="002A59E4" w:rsidRDefault="00766959" w:rsidP="004B782C">
      <w:pPr>
        <w:pStyle w:val="Default"/>
        <w:rPr>
          <w:rFonts w:asciiTheme="minorHAnsi" w:hAnsiTheme="minorHAnsi"/>
          <w:sz w:val="22"/>
          <w:szCs w:val="22"/>
        </w:rPr>
      </w:pPr>
    </w:p>
    <w:p w:rsidR="004B782C" w:rsidRPr="002A59E4" w:rsidRDefault="004B782C" w:rsidP="004B782C">
      <w:pPr>
        <w:pStyle w:val="Default"/>
        <w:rPr>
          <w:rFonts w:asciiTheme="minorHAnsi" w:hAnsiTheme="minorHAnsi"/>
          <w:sz w:val="22"/>
          <w:szCs w:val="22"/>
        </w:rPr>
      </w:pPr>
      <w:proofErr w:type="gramStart"/>
      <w:r w:rsidRPr="002A59E4">
        <w:rPr>
          <w:rFonts w:asciiTheme="minorHAnsi" w:hAnsiTheme="minorHAnsi"/>
          <w:b/>
          <w:bCs/>
          <w:iCs/>
          <w:sz w:val="22"/>
          <w:szCs w:val="22"/>
        </w:rPr>
        <w:t>IT</w:t>
      </w:r>
      <w:proofErr w:type="gramEnd"/>
      <w:r w:rsidRPr="002A59E4">
        <w:rPr>
          <w:rFonts w:asciiTheme="minorHAnsi" w:hAnsiTheme="minorHAnsi"/>
          <w:b/>
          <w:bCs/>
          <w:iCs/>
          <w:sz w:val="22"/>
          <w:szCs w:val="22"/>
        </w:rPr>
        <w:t xml:space="preserve"> Operations</w:t>
      </w:r>
      <w:r w:rsidR="00D92E7D">
        <w:rPr>
          <w:rFonts w:asciiTheme="minorHAnsi" w:hAnsiTheme="minorHAnsi"/>
          <w:b/>
          <w:bCs/>
          <w:iCs/>
          <w:sz w:val="22"/>
          <w:szCs w:val="22"/>
        </w:rPr>
        <w:t>, System &amp; Support</w:t>
      </w:r>
    </w:p>
    <w:p w:rsidR="004B782C" w:rsidRPr="002A59E4" w:rsidRDefault="004B782C" w:rsidP="004B782C">
      <w:pPr>
        <w:pStyle w:val="Default"/>
        <w:rPr>
          <w:rFonts w:asciiTheme="minorHAnsi" w:hAnsiTheme="minorHAnsi"/>
          <w:sz w:val="22"/>
          <w:szCs w:val="22"/>
        </w:rPr>
      </w:pPr>
      <w:r w:rsidRPr="002A59E4">
        <w:rPr>
          <w:rFonts w:asciiTheme="minorHAnsi" w:hAnsiTheme="minorHAnsi"/>
          <w:sz w:val="22"/>
          <w:szCs w:val="22"/>
        </w:rPr>
        <w:t xml:space="preserve">Operational </w:t>
      </w:r>
      <w:r w:rsidR="00D92E7D">
        <w:rPr>
          <w:rFonts w:asciiTheme="minorHAnsi" w:hAnsiTheme="minorHAnsi"/>
          <w:sz w:val="22"/>
          <w:szCs w:val="22"/>
        </w:rPr>
        <w:t xml:space="preserve">and support services </w:t>
      </w:r>
      <w:r w:rsidRPr="002A59E4">
        <w:rPr>
          <w:rFonts w:asciiTheme="minorHAnsi" w:hAnsiTheme="minorHAnsi"/>
          <w:sz w:val="22"/>
          <w:szCs w:val="22"/>
        </w:rPr>
        <w:t>for IT infrastructure for all NBIM offices (Oslo, London, New York, Shanghai</w:t>
      </w:r>
      <w:r w:rsidR="00766959" w:rsidRPr="002A59E4">
        <w:rPr>
          <w:rFonts w:asciiTheme="minorHAnsi" w:hAnsiTheme="minorHAnsi"/>
          <w:sz w:val="22"/>
          <w:szCs w:val="22"/>
        </w:rPr>
        <w:t xml:space="preserve"> and Singapore</w:t>
      </w:r>
      <w:r w:rsidR="00D92E7D">
        <w:rPr>
          <w:rFonts w:asciiTheme="minorHAnsi" w:hAnsiTheme="minorHAnsi"/>
          <w:sz w:val="22"/>
          <w:szCs w:val="22"/>
        </w:rPr>
        <w:t xml:space="preserve">), as well as </w:t>
      </w:r>
      <w:r w:rsidR="00D92E7D" w:rsidRPr="002A59E4">
        <w:rPr>
          <w:rFonts w:asciiTheme="minorHAnsi" w:hAnsiTheme="minorHAnsi"/>
        </w:rPr>
        <w:t xml:space="preserve">IT system maintenance </w:t>
      </w:r>
      <w:r w:rsidRPr="002A59E4">
        <w:rPr>
          <w:rFonts w:asciiTheme="minorHAnsi" w:hAnsiTheme="minorHAnsi"/>
          <w:sz w:val="22"/>
          <w:szCs w:val="22"/>
        </w:rPr>
        <w:t xml:space="preserve">are provided by </w:t>
      </w:r>
      <w:r w:rsidR="00D92E7D">
        <w:rPr>
          <w:rFonts w:asciiTheme="minorHAnsi" w:hAnsiTheme="minorHAnsi"/>
          <w:sz w:val="22"/>
          <w:szCs w:val="22"/>
        </w:rPr>
        <w:t>Cognizant Technology Solution</w:t>
      </w:r>
      <w:bookmarkStart w:id="0" w:name="_GoBack"/>
      <w:bookmarkEnd w:id="0"/>
      <w:r w:rsidR="00D92E7D">
        <w:rPr>
          <w:rFonts w:asciiTheme="minorHAnsi" w:hAnsiTheme="minorHAnsi"/>
          <w:sz w:val="22"/>
          <w:szCs w:val="22"/>
        </w:rPr>
        <w:t>s Corporation</w:t>
      </w:r>
      <w:r w:rsidRPr="002A59E4">
        <w:rPr>
          <w:rFonts w:asciiTheme="minorHAnsi" w:hAnsiTheme="minorHAnsi"/>
          <w:sz w:val="22"/>
          <w:szCs w:val="22"/>
        </w:rPr>
        <w:t xml:space="preserve">. </w:t>
      </w:r>
    </w:p>
    <w:p w:rsidR="00766959" w:rsidRPr="002A59E4" w:rsidRDefault="00766959" w:rsidP="004B782C">
      <w:pPr>
        <w:pStyle w:val="Default"/>
        <w:rPr>
          <w:rFonts w:asciiTheme="minorHAnsi" w:hAnsiTheme="minorHAnsi"/>
          <w:sz w:val="22"/>
          <w:szCs w:val="22"/>
        </w:rPr>
      </w:pPr>
    </w:p>
    <w:p w:rsidR="00BA6256" w:rsidRPr="002A59E4" w:rsidRDefault="00BA6256" w:rsidP="004B782C">
      <w:pPr>
        <w:rPr>
          <w:rFonts w:asciiTheme="minorHAnsi" w:hAnsiTheme="minorHAnsi"/>
        </w:rPr>
      </w:pPr>
    </w:p>
    <w:sectPr w:rsidR="00BA6256" w:rsidRPr="002A59E4" w:rsidSect="00BA62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45 Ligh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20B2A"/>
    <w:multiLevelType w:val="hybridMultilevel"/>
    <w:tmpl w:val="FF34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2A1850"/>
    <w:multiLevelType w:val="hybridMultilevel"/>
    <w:tmpl w:val="D418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A0389F"/>
    <w:multiLevelType w:val="hybridMultilevel"/>
    <w:tmpl w:val="7C9E4CBA"/>
    <w:lvl w:ilvl="0" w:tplc="0F5802BE">
      <w:numFmt w:val="bullet"/>
      <w:lvlText w:val="-"/>
      <w:lvlJc w:val="left"/>
      <w:pPr>
        <w:ind w:left="720" w:hanging="360"/>
      </w:pPr>
      <w:rPr>
        <w:rFonts w:ascii="Calibri" w:eastAsiaTheme="minorEastAsia" w:hAnsi="Calibri" w:cs="Univers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1A6698"/>
    <w:multiLevelType w:val="hybridMultilevel"/>
    <w:tmpl w:val="013A5B7C"/>
    <w:lvl w:ilvl="0" w:tplc="B9CC3678">
      <w:numFmt w:val="bullet"/>
      <w:lvlText w:val="-"/>
      <w:lvlJc w:val="left"/>
      <w:pPr>
        <w:ind w:left="720" w:hanging="360"/>
      </w:pPr>
      <w:rPr>
        <w:rFonts w:ascii="Calibri" w:eastAsiaTheme="minorEastAsia" w:hAnsi="Calibri" w:cs="Univers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82C"/>
    <w:rsid w:val="00010DF7"/>
    <w:rsid w:val="0004675D"/>
    <w:rsid w:val="001F55A6"/>
    <w:rsid w:val="00215F35"/>
    <w:rsid w:val="00250745"/>
    <w:rsid w:val="002A59E4"/>
    <w:rsid w:val="003A2DC7"/>
    <w:rsid w:val="004A7408"/>
    <w:rsid w:val="004B782C"/>
    <w:rsid w:val="00514D5F"/>
    <w:rsid w:val="00540F32"/>
    <w:rsid w:val="00666C77"/>
    <w:rsid w:val="006D3F9A"/>
    <w:rsid w:val="006E66E6"/>
    <w:rsid w:val="00766959"/>
    <w:rsid w:val="00A41A96"/>
    <w:rsid w:val="00B95927"/>
    <w:rsid w:val="00BA6256"/>
    <w:rsid w:val="00C113EB"/>
    <w:rsid w:val="00C9149E"/>
    <w:rsid w:val="00D92E7D"/>
    <w:rsid w:val="00FD70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82C"/>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2A59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82C"/>
    <w:pPr>
      <w:autoSpaceDE w:val="0"/>
      <w:autoSpaceDN w:val="0"/>
      <w:adjustRightInd w:val="0"/>
      <w:spacing w:after="0" w:line="240" w:lineRule="auto"/>
    </w:pPr>
    <w:rPr>
      <w:rFonts w:ascii="Univers 45 Light" w:hAnsi="Univers 45 Light" w:cs="Univers 45 Light"/>
      <w:color w:val="000000"/>
      <w:sz w:val="24"/>
      <w:szCs w:val="24"/>
    </w:rPr>
  </w:style>
  <w:style w:type="character" w:styleId="Hyperlink">
    <w:name w:val="Hyperlink"/>
    <w:basedOn w:val="DefaultParagraphFont"/>
    <w:uiPriority w:val="99"/>
    <w:unhideWhenUsed/>
    <w:rsid w:val="004B782C"/>
    <w:rPr>
      <w:color w:val="0000FF" w:themeColor="hyperlink"/>
      <w:u w:val="single"/>
    </w:rPr>
  </w:style>
  <w:style w:type="character" w:customStyle="1" w:styleId="Heading2Char">
    <w:name w:val="Heading 2 Char"/>
    <w:basedOn w:val="DefaultParagraphFont"/>
    <w:link w:val="Heading2"/>
    <w:uiPriority w:val="9"/>
    <w:rsid w:val="002A59E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82C"/>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2A59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82C"/>
    <w:pPr>
      <w:autoSpaceDE w:val="0"/>
      <w:autoSpaceDN w:val="0"/>
      <w:adjustRightInd w:val="0"/>
      <w:spacing w:after="0" w:line="240" w:lineRule="auto"/>
    </w:pPr>
    <w:rPr>
      <w:rFonts w:ascii="Univers 45 Light" w:hAnsi="Univers 45 Light" w:cs="Univers 45 Light"/>
      <w:color w:val="000000"/>
      <w:sz w:val="24"/>
      <w:szCs w:val="24"/>
    </w:rPr>
  </w:style>
  <w:style w:type="character" w:styleId="Hyperlink">
    <w:name w:val="Hyperlink"/>
    <w:basedOn w:val="DefaultParagraphFont"/>
    <w:uiPriority w:val="99"/>
    <w:unhideWhenUsed/>
    <w:rsid w:val="004B782C"/>
    <w:rPr>
      <w:color w:val="0000FF" w:themeColor="hyperlink"/>
      <w:u w:val="single"/>
    </w:rPr>
  </w:style>
  <w:style w:type="character" w:customStyle="1" w:styleId="Heading2Char">
    <w:name w:val="Heading 2 Char"/>
    <w:basedOn w:val="DefaultParagraphFont"/>
    <w:link w:val="Heading2"/>
    <w:uiPriority w:val="9"/>
    <w:rsid w:val="002A59E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13759">
      <w:bodyDiv w:val="1"/>
      <w:marLeft w:val="0"/>
      <w:marRight w:val="0"/>
      <w:marTop w:val="0"/>
      <w:marBottom w:val="0"/>
      <w:divBdr>
        <w:top w:val="none" w:sz="0" w:space="0" w:color="auto"/>
        <w:left w:val="none" w:sz="0" w:space="0" w:color="auto"/>
        <w:bottom w:val="none" w:sz="0" w:space="0" w:color="auto"/>
        <w:right w:val="none" w:sz="0" w:space="0" w:color="auto"/>
      </w:divBdr>
    </w:div>
    <w:div w:id="981227822">
      <w:bodyDiv w:val="1"/>
      <w:marLeft w:val="0"/>
      <w:marRight w:val="0"/>
      <w:marTop w:val="0"/>
      <w:marBottom w:val="0"/>
      <w:divBdr>
        <w:top w:val="none" w:sz="0" w:space="0" w:color="auto"/>
        <w:left w:val="none" w:sz="0" w:space="0" w:color="auto"/>
        <w:bottom w:val="none" w:sz="0" w:space="0" w:color="auto"/>
        <w:right w:val="none" w:sz="0" w:space="0" w:color="auto"/>
      </w:divBdr>
    </w:div>
    <w:div w:id="119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Norges Bank Investment Management</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nbrja1</dc:creator>
  <cp:lastModifiedBy>Jarstein, Regina</cp:lastModifiedBy>
  <cp:revision>3</cp:revision>
  <dcterms:created xsi:type="dcterms:W3CDTF">2013-01-23T14:50:00Z</dcterms:created>
  <dcterms:modified xsi:type="dcterms:W3CDTF">2013-01-24T08:33:00Z</dcterms:modified>
</cp:coreProperties>
</file>