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vertAnchor="page" w:horzAnchor="margin" w:tblpY="210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60"/>
      </w:tblGrid>
      <w:tr w:rsidR="008B7A70" w:rsidTr="008B7A70">
        <w:tc>
          <w:tcPr>
            <w:tcW w:w="9060" w:type="dxa"/>
          </w:tcPr>
          <w:sdt>
            <w:sdtPr>
              <w:rPr>
                <w:rFonts w:ascii="Arial Black" w:hAnsi="Arial Black"/>
                <w:sz w:val="56"/>
              </w:rPr>
              <w:alias w:val="Title"/>
              <w:tag w:val="Title"/>
              <w:id w:val="977493989"/>
              <w:placeholder>
                <w:docPart w:val="2EAA83422B36479AB87A4E9BF3DCF988"/>
              </w:placeholder>
              <w:text w:multiLine="1"/>
            </w:sdtPr>
            <w:sdtEndPr/>
            <w:sdtContent>
              <w:p w:rsidR="008B7A70" w:rsidRPr="00B35D0C" w:rsidRDefault="009A4FB6" w:rsidP="006226AC">
                <w:pPr>
                  <w:pStyle w:val="Title"/>
                  <w:spacing w:line="560" w:lineRule="exact"/>
                  <w:rPr>
                    <w:rFonts w:ascii="Arial Black" w:hAnsi="Arial Black"/>
                    <w:sz w:val="56"/>
                  </w:rPr>
                </w:pPr>
                <w:r w:rsidRPr="00B35D0C">
                  <w:rPr>
                    <w:rFonts w:ascii="Arial Black" w:hAnsi="Arial Black"/>
                    <w:sz w:val="56"/>
                  </w:rPr>
                  <w:t>Government</w:t>
                </w:r>
                <w:r w:rsidR="00FD2541" w:rsidRPr="00B35D0C">
                  <w:rPr>
                    <w:rFonts w:ascii="Arial Black" w:hAnsi="Arial Black"/>
                    <w:sz w:val="56"/>
                  </w:rPr>
                  <w:br/>
                </w:r>
                <w:r w:rsidRPr="00B35D0C">
                  <w:rPr>
                    <w:rFonts w:ascii="Arial Black" w:hAnsi="Arial Black"/>
                    <w:sz w:val="56"/>
                  </w:rPr>
                  <w:t xml:space="preserve">pension fund global </w:t>
                </w:r>
              </w:p>
            </w:sdtContent>
          </w:sdt>
          <w:sdt>
            <w:sdtPr>
              <w:rPr>
                <w:b/>
                <w:sz w:val="32"/>
                <w:szCs w:val="32"/>
              </w:rPr>
              <w:alias w:val="Subtitle"/>
              <w:tag w:val="Subtitle"/>
              <w:id w:val="2036843558"/>
              <w:placeholder>
                <w:docPart w:val="FE182FD6FFF74CD691696BB80C8BFA5F"/>
              </w:placeholder>
              <w:text w:multiLine="1"/>
            </w:sdtPr>
            <w:sdtEndPr/>
            <w:sdtContent>
              <w:p w:rsidR="008B7A70" w:rsidRPr="001F0E11" w:rsidRDefault="009A4FB6" w:rsidP="009A4FB6">
                <w:pPr>
                  <w:pStyle w:val="Subtitle"/>
                </w:pPr>
                <w:r w:rsidRPr="00FD2541">
                  <w:rPr>
                    <w:b/>
                    <w:sz w:val="32"/>
                    <w:szCs w:val="32"/>
                  </w:rPr>
                  <w:t>Norges bank Investment management</w:t>
                </w:r>
              </w:p>
            </w:sdtContent>
          </w:sdt>
        </w:tc>
      </w:tr>
    </w:tbl>
    <w:p w:rsidR="0031240F" w:rsidRDefault="0031240F" w:rsidP="009A4FB6">
      <w:pPr>
        <w:rPr>
          <w:b/>
          <w:sz w:val="16"/>
          <w:szCs w:val="16"/>
        </w:rPr>
        <w:sectPr w:rsidR="0031240F" w:rsidSect="0031240F">
          <w:headerReference w:type="default" r:id="rId9"/>
          <w:footerReference w:type="default" r:id="rId10"/>
          <w:headerReference w:type="first" r:id="rId11"/>
          <w:footerReference w:type="first" r:id="rId12"/>
          <w:type w:val="continuous"/>
          <w:pgSz w:w="11906" w:h="16838"/>
          <w:pgMar w:top="2552" w:right="1418" w:bottom="1418" w:left="1418" w:header="709" w:footer="510" w:gutter="0"/>
          <w:cols w:space="708"/>
          <w:titlePg/>
          <w:docGrid w:linePitch="360"/>
        </w:sectPr>
      </w:pPr>
    </w:p>
    <w:p w:rsidR="001A13E0" w:rsidRDefault="001A13E0" w:rsidP="009A4FB6">
      <w:pPr>
        <w:rPr>
          <w:b/>
          <w:color w:val="2C7399"/>
          <w:sz w:val="18"/>
          <w:szCs w:val="18"/>
        </w:rPr>
      </w:pPr>
    </w:p>
    <w:p w:rsidR="009A4FB6" w:rsidRPr="0031240F" w:rsidRDefault="009A4FB6" w:rsidP="009A4FB6">
      <w:pPr>
        <w:rPr>
          <w:sz w:val="18"/>
          <w:szCs w:val="18"/>
        </w:rPr>
      </w:pPr>
      <w:r w:rsidRPr="0031240F">
        <w:rPr>
          <w:b/>
          <w:color w:val="2C7399"/>
          <w:sz w:val="18"/>
          <w:szCs w:val="18"/>
        </w:rPr>
        <w:t xml:space="preserve">Founded: </w:t>
      </w:r>
      <w:r w:rsidRPr="0031240F">
        <w:rPr>
          <w:sz w:val="18"/>
          <w:szCs w:val="18"/>
        </w:rPr>
        <w:t>1998</w:t>
      </w:r>
    </w:p>
    <w:p w:rsidR="009A4FB6" w:rsidRPr="0031240F" w:rsidRDefault="009A4FB6" w:rsidP="009A4FB6">
      <w:pPr>
        <w:rPr>
          <w:b/>
          <w:sz w:val="18"/>
          <w:szCs w:val="18"/>
        </w:rPr>
      </w:pPr>
      <w:r w:rsidRPr="0031240F">
        <w:rPr>
          <w:b/>
          <w:color w:val="2C7399"/>
          <w:sz w:val="18"/>
          <w:szCs w:val="18"/>
        </w:rPr>
        <w:t xml:space="preserve">Head office: </w:t>
      </w:r>
      <w:r w:rsidRPr="0031240F">
        <w:rPr>
          <w:sz w:val="18"/>
          <w:szCs w:val="18"/>
        </w:rPr>
        <w:t>Oslo</w:t>
      </w:r>
    </w:p>
    <w:p w:rsidR="00FD2541" w:rsidRDefault="009A4FB6" w:rsidP="009A4FB6">
      <w:pPr>
        <w:rPr>
          <w:sz w:val="18"/>
          <w:szCs w:val="18"/>
        </w:rPr>
      </w:pPr>
      <w:r w:rsidRPr="0031240F">
        <w:rPr>
          <w:b/>
          <w:color w:val="2C7399"/>
          <w:sz w:val="18"/>
          <w:szCs w:val="18"/>
        </w:rPr>
        <w:t>International offices</w:t>
      </w:r>
      <w:r w:rsidRPr="0031240F">
        <w:rPr>
          <w:color w:val="2C7399"/>
          <w:sz w:val="18"/>
          <w:szCs w:val="18"/>
        </w:rPr>
        <w:t xml:space="preserve">: </w:t>
      </w:r>
      <w:r w:rsidRPr="0031240F">
        <w:rPr>
          <w:sz w:val="18"/>
          <w:szCs w:val="18"/>
        </w:rPr>
        <w:t>London,</w:t>
      </w:r>
      <w:r w:rsidRPr="0031240F">
        <w:rPr>
          <w:sz w:val="18"/>
          <w:szCs w:val="18"/>
        </w:rPr>
        <w:t xml:space="preserve"> </w:t>
      </w:r>
      <w:r w:rsidRPr="0031240F">
        <w:rPr>
          <w:sz w:val="18"/>
          <w:szCs w:val="18"/>
        </w:rPr>
        <w:t xml:space="preserve">New York, </w:t>
      </w:r>
    </w:p>
    <w:p w:rsidR="009A4FB6" w:rsidRPr="0031240F" w:rsidRDefault="00FD2541" w:rsidP="009A4FB6">
      <w:pPr>
        <w:rPr>
          <w:sz w:val="18"/>
          <w:szCs w:val="18"/>
        </w:rPr>
      </w:pPr>
      <w:r>
        <w:rPr>
          <w:sz w:val="18"/>
          <w:szCs w:val="18"/>
        </w:rPr>
        <w:t>Si</w:t>
      </w:r>
      <w:r w:rsidR="009A4FB6" w:rsidRPr="0031240F">
        <w:rPr>
          <w:sz w:val="18"/>
          <w:szCs w:val="18"/>
        </w:rPr>
        <w:t xml:space="preserve">ngapore and Shanghai </w:t>
      </w:r>
    </w:p>
    <w:p w:rsidR="009A4FB6" w:rsidRDefault="009A4FB6" w:rsidP="009A4FB6">
      <w:pPr>
        <w:rPr>
          <w:sz w:val="18"/>
          <w:szCs w:val="18"/>
        </w:rPr>
      </w:pPr>
      <w:r w:rsidRPr="0031240F">
        <w:rPr>
          <w:b/>
          <w:color w:val="2C7399"/>
          <w:sz w:val="18"/>
          <w:szCs w:val="18"/>
        </w:rPr>
        <w:t xml:space="preserve">Employees: </w:t>
      </w:r>
      <w:r w:rsidRPr="0031240F">
        <w:rPr>
          <w:sz w:val="18"/>
          <w:szCs w:val="18"/>
        </w:rPr>
        <w:t>386 from 29 countries</w:t>
      </w:r>
    </w:p>
    <w:p w:rsidR="001A13E0" w:rsidRPr="0031240F" w:rsidRDefault="001A13E0" w:rsidP="009A4FB6">
      <w:pPr>
        <w:rPr>
          <w:sz w:val="18"/>
          <w:szCs w:val="18"/>
        </w:rPr>
      </w:pPr>
    </w:p>
    <w:p w:rsidR="009A4FB6" w:rsidRDefault="00FD2541" w:rsidP="009A4FB6">
      <w:pPr>
        <w:rPr>
          <w:sz w:val="18"/>
          <w:szCs w:val="18"/>
        </w:rPr>
      </w:pPr>
      <w:r>
        <w:rPr>
          <w:sz w:val="18"/>
          <w:szCs w:val="18"/>
        </w:rPr>
        <w:br/>
      </w:r>
    </w:p>
    <w:p w:rsidR="0031240F" w:rsidRPr="0031240F" w:rsidRDefault="0031240F" w:rsidP="009A4FB6">
      <w:pPr>
        <w:rPr>
          <w:sz w:val="18"/>
          <w:szCs w:val="18"/>
        </w:rPr>
      </w:pPr>
    </w:p>
    <w:p w:rsidR="009A4FB6" w:rsidRPr="0031240F" w:rsidRDefault="009A4FB6" w:rsidP="007E48C4">
      <w:pPr>
        <w:ind w:left="567"/>
        <w:rPr>
          <w:sz w:val="18"/>
          <w:szCs w:val="18"/>
        </w:rPr>
      </w:pPr>
      <w:r w:rsidRPr="0031240F">
        <w:rPr>
          <w:b/>
          <w:color w:val="2C7399"/>
          <w:sz w:val="18"/>
          <w:szCs w:val="18"/>
        </w:rPr>
        <w:t xml:space="preserve">Coverage: </w:t>
      </w:r>
      <w:r w:rsidRPr="0031240F">
        <w:rPr>
          <w:sz w:val="18"/>
          <w:szCs w:val="18"/>
        </w:rPr>
        <w:t>Global</w:t>
      </w:r>
    </w:p>
    <w:p w:rsidR="009A4FB6" w:rsidRPr="0031240F" w:rsidRDefault="009A4FB6" w:rsidP="007E48C4">
      <w:pPr>
        <w:ind w:left="567"/>
        <w:rPr>
          <w:sz w:val="18"/>
          <w:szCs w:val="18"/>
        </w:rPr>
      </w:pPr>
      <w:r w:rsidRPr="0031240F">
        <w:rPr>
          <w:b/>
          <w:color w:val="2C7399"/>
          <w:sz w:val="18"/>
          <w:szCs w:val="18"/>
        </w:rPr>
        <w:t>GPFG total AUM</w:t>
      </w:r>
      <w:r w:rsidR="0031240F">
        <w:rPr>
          <w:sz w:val="18"/>
          <w:szCs w:val="18"/>
        </w:rPr>
        <w:t>:</w:t>
      </w:r>
      <w:r w:rsidRPr="0031240F">
        <w:rPr>
          <w:sz w:val="18"/>
          <w:szCs w:val="18"/>
        </w:rPr>
        <w:t xml:space="preserve"> $840bn</w:t>
      </w:r>
    </w:p>
    <w:p w:rsidR="009A4FB6" w:rsidRPr="0031240F" w:rsidRDefault="009A4FB6" w:rsidP="007E48C4">
      <w:pPr>
        <w:ind w:left="567"/>
        <w:rPr>
          <w:sz w:val="18"/>
          <w:szCs w:val="18"/>
        </w:rPr>
      </w:pPr>
      <w:r w:rsidRPr="0031240F">
        <w:rPr>
          <w:b/>
          <w:color w:val="2C7399"/>
          <w:sz w:val="18"/>
          <w:szCs w:val="18"/>
        </w:rPr>
        <w:t>Strategic asset allocation</w:t>
      </w:r>
      <w:r w:rsidR="0031240F" w:rsidRPr="0031240F">
        <w:rPr>
          <w:b/>
          <w:color w:val="2C7399"/>
          <w:sz w:val="18"/>
          <w:szCs w:val="18"/>
        </w:rPr>
        <w:t>:</w:t>
      </w:r>
      <w:r w:rsidRPr="0031240F">
        <w:rPr>
          <w:b/>
          <w:color w:val="2C7399"/>
          <w:sz w:val="18"/>
          <w:szCs w:val="18"/>
        </w:rPr>
        <w:t xml:space="preserve"> </w:t>
      </w:r>
      <w:r w:rsidRPr="0031240F">
        <w:rPr>
          <w:sz w:val="18"/>
          <w:szCs w:val="18"/>
        </w:rPr>
        <w:t>Equity (60%)</w:t>
      </w:r>
      <w:proofErr w:type="gramStart"/>
      <w:r w:rsidRPr="0031240F">
        <w:rPr>
          <w:sz w:val="18"/>
          <w:szCs w:val="18"/>
        </w:rPr>
        <w:t>,</w:t>
      </w:r>
      <w:proofErr w:type="gramEnd"/>
      <w:r w:rsidR="0031240F" w:rsidRPr="0031240F">
        <w:rPr>
          <w:sz w:val="18"/>
          <w:szCs w:val="18"/>
        </w:rPr>
        <w:br/>
      </w:r>
      <w:r w:rsidRPr="0031240F">
        <w:rPr>
          <w:sz w:val="18"/>
          <w:szCs w:val="18"/>
        </w:rPr>
        <w:t>fixed income (35-40%), real estate (0-5%)</w:t>
      </w:r>
    </w:p>
    <w:p w:rsidR="009A4FB6" w:rsidRPr="0031240F" w:rsidRDefault="009A4FB6" w:rsidP="007E48C4">
      <w:pPr>
        <w:ind w:left="567"/>
        <w:rPr>
          <w:sz w:val="18"/>
          <w:szCs w:val="18"/>
        </w:rPr>
      </w:pPr>
      <w:r w:rsidRPr="0031240F">
        <w:rPr>
          <w:b/>
          <w:color w:val="2C7399"/>
          <w:sz w:val="18"/>
          <w:szCs w:val="18"/>
        </w:rPr>
        <w:t>Number of equity holdings</w:t>
      </w:r>
      <w:r w:rsidR="0031240F">
        <w:rPr>
          <w:b/>
          <w:color w:val="2C7399"/>
          <w:sz w:val="18"/>
          <w:szCs w:val="18"/>
        </w:rPr>
        <w:t>:</w:t>
      </w:r>
      <w:r w:rsidRPr="0031240F">
        <w:rPr>
          <w:b/>
          <w:color w:val="2C7399"/>
          <w:sz w:val="18"/>
          <w:szCs w:val="18"/>
        </w:rPr>
        <w:t xml:space="preserve"> </w:t>
      </w:r>
      <w:r w:rsidRPr="0031240F">
        <w:rPr>
          <w:sz w:val="18"/>
          <w:szCs w:val="18"/>
        </w:rPr>
        <w:t>8213</w:t>
      </w:r>
    </w:p>
    <w:p w:rsidR="009A4FB6" w:rsidRDefault="009A4FB6" w:rsidP="007E48C4">
      <w:pPr>
        <w:ind w:left="567"/>
        <w:rPr>
          <w:sz w:val="18"/>
          <w:szCs w:val="18"/>
        </w:rPr>
      </w:pPr>
      <w:r w:rsidRPr="0031240F">
        <w:rPr>
          <w:b/>
          <w:color w:val="2C7399"/>
          <w:sz w:val="18"/>
          <w:szCs w:val="18"/>
        </w:rPr>
        <w:t xml:space="preserve">Reported filing date: </w:t>
      </w:r>
      <w:r w:rsidRPr="0031240F">
        <w:rPr>
          <w:sz w:val="18"/>
          <w:szCs w:val="18"/>
        </w:rPr>
        <w:t xml:space="preserve">31 </w:t>
      </w:r>
      <w:r w:rsidRPr="0031240F">
        <w:rPr>
          <w:sz w:val="18"/>
          <w:szCs w:val="18"/>
        </w:rPr>
        <w:t>Decembe</w:t>
      </w:r>
      <w:r w:rsidR="0031240F" w:rsidRPr="0031240F">
        <w:rPr>
          <w:sz w:val="18"/>
          <w:szCs w:val="18"/>
        </w:rPr>
        <w:t>r</w:t>
      </w:r>
    </w:p>
    <w:p w:rsidR="001A13E0" w:rsidRPr="0031240F" w:rsidRDefault="001A13E0" w:rsidP="00F627E1">
      <w:pPr>
        <w:rPr>
          <w:rFonts w:eastAsiaTheme="minorEastAsia"/>
          <w:color w:val="2C7399"/>
          <w:sz w:val="18"/>
          <w:szCs w:val="18"/>
          <w:lang w:eastAsia="zh-TW"/>
        </w:rPr>
        <w:sectPr w:rsidR="001A13E0" w:rsidRPr="0031240F" w:rsidSect="007E48C4">
          <w:type w:val="continuous"/>
          <w:pgSz w:w="11906" w:h="16838"/>
          <w:pgMar w:top="2552" w:right="1418" w:bottom="1418" w:left="1418" w:header="709" w:footer="510" w:gutter="0"/>
          <w:cols w:num="2" w:space="2"/>
          <w:titlePg/>
          <w:docGrid w:linePitch="360"/>
        </w:sectPr>
      </w:pPr>
    </w:p>
    <w:p w:rsidR="007E48C4" w:rsidRPr="008A702B" w:rsidRDefault="001A13E0" w:rsidP="008A702B">
      <w:pPr>
        <w:spacing w:after="200" w:line="276" w:lineRule="auto"/>
        <w:rPr>
          <w:rFonts w:asciiTheme="majorHAnsi" w:hAnsiTheme="majorHAnsi" w:cstheme="majorHAnsi"/>
          <w:color w:val="2C7399"/>
          <w:sz w:val="22"/>
        </w:rPr>
      </w:pPr>
      <w:r w:rsidRPr="008A702B">
        <w:rPr>
          <w:rFonts w:asciiTheme="majorHAnsi" w:hAnsiTheme="majorHAnsi" w:cstheme="majorHAnsi"/>
          <w:color w:val="2C7399"/>
          <w:sz w:val="22"/>
        </w:rPr>
        <w:lastRenderedPageBreak/>
        <w:t>The</w:t>
      </w:r>
      <w:r w:rsidRPr="008A702B">
        <w:rPr>
          <w:rFonts w:asciiTheme="majorHAnsi" w:hAnsiTheme="majorHAnsi" w:cstheme="majorHAnsi"/>
          <w:color w:val="2C7399"/>
          <w:sz w:val="22"/>
        </w:rPr>
        <w:t xml:space="preserve"> Government Pension Fund Global</w:t>
      </w:r>
      <w:r w:rsidRPr="008A702B">
        <w:rPr>
          <w:rFonts w:asciiTheme="majorHAnsi" w:hAnsiTheme="majorHAnsi" w:cstheme="majorHAnsi"/>
          <w:color w:val="2C7399"/>
          <w:sz w:val="22"/>
        </w:rPr>
        <w:t xml:space="preserve"> was set up to support saving for future government spending and underpin long-term considerations in the use of Norway’s oil revenue. Norges Bank Investment Management manages the fund on behalf of the Ministry of Finance, which owns the fund on behalf of the Norwegian people. The fund’s mission is to safeguard and build financial wealth for future generations.  </w:t>
      </w:r>
    </w:p>
    <w:p w:rsidR="0031240F" w:rsidRPr="00913952" w:rsidRDefault="0031240F" w:rsidP="008A702B">
      <w:pPr>
        <w:spacing w:after="200" w:line="276" w:lineRule="auto"/>
        <w:rPr>
          <w:color w:val="2C7399"/>
          <w:sz w:val="18"/>
          <w:szCs w:val="18"/>
        </w:rPr>
      </w:pPr>
      <w:r w:rsidRPr="00913952">
        <w:rPr>
          <w:sz w:val="18"/>
          <w:szCs w:val="18"/>
        </w:rPr>
        <w:t>The ministry regularly transfers petroleum revenue to the fund. The capital is invested ab</w:t>
      </w:r>
      <w:bookmarkStart w:id="0" w:name="_GoBack"/>
      <w:bookmarkEnd w:id="0"/>
      <w:r w:rsidRPr="00913952">
        <w:rPr>
          <w:sz w:val="18"/>
          <w:szCs w:val="18"/>
        </w:rPr>
        <w:t>road, to avoid overheating the Norwegian economy and to shield it from the eff</w:t>
      </w:r>
      <w:r w:rsidR="00E87C1E" w:rsidRPr="00913952">
        <w:rPr>
          <w:sz w:val="18"/>
          <w:szCs w:val="18"/>
        </w:rPr>
        <w:t xml:space="preserve">ects of oil price fluctuations. </w:t>
      </w:r>
      <w:r w:rsidRPr="00913952">
        <w:rPr>
          <w:sz w:val="18"/>
          <w:szCs w:val="18"/>
        </w:rPr>
        <w:t>The bulk of the assets are managed by Norges Bank Investment Management internally. Around 4</w:t>
      </w:r>
      <w:r w:rsidR="006226AC" w:rsidRPr="00913952">
        <w:rPr>
          <w:sz w:val="18"/>
          <w:szCs w:val="18"/>
        </w:rPr>
        <w:t xml:space="preserve"> percent</w:t>
      </w:r>
      <w:r w:rsidRPr="00913952">
        <w:rPr>
          <w:sz w:val="18"/>
          <w:szCs w:val="18"/>
        </w:rPr>
        <w:t xml:space="preserve"> of the assets are managed by a number of external managers appointed by the fund.</w:t>
      </w:r>
    </w:p>
    <w:p w:rsidR="00E87C1E" w:rsidRPr="00913952" w:rsidRDefault="00E87C1E" w:rsidP="008A702B">
      <w:pPr>
        <w:spacing w:after="200" w:line="276" w:lineRule="auto"/>
        <w:rPr>
          <w:sz w:val="18"/>
          <w:szCs w:val="18"/>
        </w:rPr>
      </w:pPr>
      <w:r w:rsidRPr="00913952">
        <w:rPr>
          <w:sz w:val="18"/>
          <w:szCs w:val="18"/>
        </w:rPr>
        <w:t xml:space="preserve">The ministry determines the fund’s investment strategy, following advice from among others Norges Bank Investment Management and discussions in Parliament. </w:t>
      </w:r>
      <w:r w:rsidRPr="00913952">
        <w:rPr>
          <w:sz w:val="18"/>
          <w:szCs w:val="18"/>
        </w:rPr>
        <w:t xml:space="preserve"> </w:t>
      </w:r>
      <w:r w:rsidR="0031240F" w:rsidRPr="00913952">
        <w:rPr>
          <w:sz w:val="18"/>
          <w:szCs w:val="18"/>
        </w:rPr>
        <w:t xml:space="preserve">The fund invests in international equity and fixed-income markets and real estate. The aim is to have a diversified investment mix that will give the highest possible risk-adjusted long-term return within the guidelines set by the ministry. </w:t>
      </w:r>
      <w:r w:rsidRPr="00913952">
        <w:rPr>
          <w:sz w:val="18"/>
          <w:szCs w:val="18"/>
        </w:rPr>
        <w:t xml:space="preserve"> </w:t>
      </w:r>
    </w:p>
    <w:p w:rsidR="001B4EAA" w:rsidRPr="00913952" w:rsidRDefault="0031240F" w:rsidP="008A702B">
      <w:pPr>
        <w:spacing w:after="200" w:line="276" w:lineRule="auto"/>
        <w:rPr>
          <w:sz w:val="18"/>
          <w:szCs w:val="18"/>
        </w:rPr>
      </w:pPr>
      <w:r w:rsidRPr="00913952">
        <w:rPr>
          <w:sz w:val="18"/>
          <w:szCs w:val="18"/>
        </w:rPr>
        <w:t>The fund’s annualized return since the start of 1998 is 5.7</w:t>
      </w:r>
      <w:r w:rsidR="001A13E0" w:rsidRPr="00913952">
        <w:rPr>
          <w:sz w:val="18"/>
          <w:szCs w:val="18"/>
        </w:rPr>
        <w:t xml:space="preserve"> percent </w:t>
      </w:r>
      <w:r w:rsidRPr="00913952">
        <w:rPr>
          <w:sz w:val="18"/>
          <w:szCs w:val="18"/>
        </w:rPr>
        <w:t>(measured in a currency basket). The return in dollars is 6.7</w:t>
      </w:r>
      <w:r w:rsidR="001A13E0" w:rsidRPr="00913952">
        <w:rPr>
          <w:sz w:val="18"/>
          <w:szCs w:val="18"/>
        </w:rPr>
        <w:t xml:space="preserve"> percent.</w:t>
      </w:r>
    </w:p>
    <w:p w:rsidR="008B7A70" w:rsidRDefault="008B7A70" w:rsidP="008A702B">
      <w:pPr>
        <w:pStyle w:val="Heading1"/>
      </w:pPr>
      <w:r w:rsidRPr="008B7A70">
        <w:t>Equity</w:t>
      </w:r>
    </w:p>
    <w:p w:rsidR="008B7A70" w:rsidRPr="00913952" w:rsidRDefault="008B7A70" w:rsidP="008A702B">
      <w:pPr>
        <w:spacing w:after="200" w:line="276" w:lineRule="auto"/>
        <w:rPr>
          <w:sz w:val="18"/>
          <w:szCs w:val="18"/>
        </w:rPr>
      </w:pPr>
      <w:r w:rsidRPr="00913952">
        <w:rPr>
          <w:sz w:val="18"/>
          <w:szCs w:val="18"/>
        </w:rPr>
        <w:t>The fund’s equity investments</w:t>
      </w:r>
      <w:r w:rsidR="00E87C1E" w:rsidRPr="00913952">
        <w:rPr>
          <w:sz w:val="18"/>
          <w:szCs w:val="18"/>
        </w:rPr>
        <w:t xml:space="preserve"> are spread across the world to </w:t>
      </w:r>
      <w:r w:rsidRPr="00913952">
        <w:rPr>
          <w:sz w:val="18"/>
          <w:szCs w:val="18"/>
        </w:rPr>
        <w:t xml:space="preserve">capture broad gains in stock markets. Its largest geographic exposure is to Europe and North America, followed by developed markets in Asia and Oceania and emerging markets. The fund is in the process of moving toward regional market capitalisation weights for equity investments. </w:t>
      </w:r>
      <w:r w:rsidR="00E87C1E" w:rsidRPr="00913952">
        <w:rPr>
          <w:sz w:val="18"/>
          <w:szCs w:val="18"/>
        </w:rPr>
        <w:t xml:space="preserve">The </w:t>
      </w:r>
      <w:r w:rsidRPr="00913952">
        <w:rPr>
          <w:sz w:val="18"/>
          <w:szCs w:val="18"/>
        </w:rPr>
        <w:t>investments are in a wide range of sectors, and the overall sector exposure is based on market capitalisation. The fund has an upper limit of 10</w:t>
      </w:r>
      <w:r w:rsidR="001A13E0" w:rsidRPr="00913952">
        <w:rPr>
          <w:sz w:val="18"/>
          <w:szCs w:val="18"/>
        </w:rPr>
        <w:t xml:space="preserve"> percent</w:t>
      </w:r>
      <w:r w:rsidRPr="00913952">
        <w:rPr>
          <w:sz w:val="18"/>
          <w:szCs w:val="18"/>
        </w:rPr>
        <w:t xml:space="preserve"> of ownership in any given listed company. The ave</w:t>
      </w:r>
      <w:r w:rsidR="001A13E0" w:rsidRPr="00913952">
        <w:rPr>
          <w:sz w:val="18"/>
          <w:szCs w:val="18"/>
        </w:rPr>
        <w:t>rage ownership in Europe is 2.5 percent</w:t>
      </w:r>
      <w:r w:rsidRPr="00913952">
        <w:rPr>
          <w:sz w:val="18"/>
          <w:szCs w:val="18"/>
        </w:rPr>
        <w:t>, whereas the average ownership globally is 1.3</w:t>
      </w:r>
      <w:r w:rsidR="001A13E0" w:rsidRPr="00913952">
        <w:rPr>
          <w:sz w:val="18"/>
          <w:szCs w:val="18"/>
        </w:rPr>
        <w:t xml:space="preserve"> percent</w:t>
      </w:r>
      <w:r w:rsidRPr="00913952">
        <w:rPr>
          <w:sz w:val="18"/>
          <w:szCs w:val="18"/>
        </w:rPr>
        <w:t xml:space="preserve">. </w:t>
      </w:r>
    </w:p>
    <w:p w:rsidR="008B7A70" w:rsidRPr="00913952" w:rsidRDefault="00E87C1E" w:rsidP="008A702B">
      <w:pPr>
        <w:spacing w:line="276" w:lineRule="auto"/>
        <w:rPr>
          <w:b/>
          <w:sz w:val="18"/>
          <w:szCs w:val="18"/>
        </w:rPr>
      </w:pPr>
      <w:r w:rsidRPr="00913952">
        <w:rPr>
          <w:b/>
          <w:sz w:val="18"/>
          <w:szCs w:val="18"/>
        </w:rPr>
        <w:t xml:space="preserve">The fund has four </w:t>
      </w:r>
      <w:r w:rsidR="008B7A70" w:rsidRPr="00913952">
        <w:rPr>
          <w:b/>
          <w:sz w:val="18"/>
          <w:szCs w:val="18"/>
        </w:rPr>
        <w:t>main approaches:</w:t>
      </w:r>
    </w:p>
    <w:p w:rsidR="008B7A70" w:rsidRPr="00913952" w:rsidRDefault="008B7A70" w:rsidP="008A702B">
      <w:pPr>
        <w:pStyle w:val="ListParagraph"/>
        <w:numPr>
          <w:ilvl w:val="0"/>
          <w:numId w:val="2"/>
        </w:numPr>
        <w:spacing w:after="200" w:line="276" w:lineRule="auto"/>
        <w:ind w:left="284" w:hanging="284"/>
        <w:rPr>
          <w:sz w:val="18"/>
          <w:szCs w:val="18"/>
        </w:rPr>
      </w:pPr>
      <w:r w:rsidRPr="00913952">
        <w:rPr>
          <w:sz w:val="18"/>
          <w:szCs w:val="18"/>
        </w:rPr>
        <w:t>Market exposure strategies where a more acti</w:t>
      </w:r>
      <w:r w:rsidR="007E48C4" w:rsidRPr="00913952">
        <w:rPr>
          <w:sz w:val="18"/>
          <w:szCs w:val="18"/>
        </w:rPr>
        <w:t xml:space="preserve">ve indexing strategy is used to </w:t>
      </w:r>
      <w:r w:rsidRPr="00913952">
        <w:rPr>
          <w:sz w:val="18"/>
          <w:szCs w:val="18"/>
        </w:rPr>
        <w:t>enhance performance</w:t>
      </w:r>
    </w:p>
    <w:p w:rsidR="008A702B" w:rsidRDefault="008B7A70" w:rsidP="008A702B">
      <w:pPr>
        <w:pStyle w:val="ListParagraph"/>
        <w:numPr>
          <w:ilvl w:val="0"/>
          <w:numId w:val="2"/>
        </w:numPr>
        <w:spacing w:after="200" w:line="276" w:lineRule="auto"/>
        <w:ind w:left="284" w:hanging="284"/>
        <w:rPr>
          <w:sz w:val="18"/>
          <w:szCs w:val="18"/>
        </w:rPr>
      </w:pPr>
      <w:r w:rsidRPr="00913952">
        <w:rPr>
          <w:sz w:val="18"/>
          <w:szCs w:val="18"/>
        </w:rPr>
        <w:t>Sector strategies where the fund seeks to identify investment opportunities in select companies in targeted industries. Portfolio managers are given global or regional mandates to invest in listed companies in a specific industry.</w:t>
      </w:r>
      <w:r w:rsidR="008A702B">
        <w:rPr>
          <w:sz w:val="18"/>
          <w:szCs w:val="18"/>
        </w:rPr>
        <w:br/>
      </w:r>
    </w:p>
    <w:p w:rsidR="008A702B" w:rsidRDefault="008A702B">
      <w:pPr>
        <w:spacing w:after="160"/>
        <w:rPr>
          <w:sz w:val="18"/>
          <w:szCs w:val="18"/>
        </w:rPr>
      </w:pPr>
    </w:p>
    <w:p w:rsidR="008B7A70" w:rsidRPr="008A702B" w:rsidRDefault="008B7A70" w:rsidP="008A702B">
      <w:pPr>
        <w:pStyle w:val="ListParagraph"/>
        <w:numPr>
          <w:ilvl w:val="0"/>
          <w:numId w:val="2"/>
        </w:numPr>
        <w:spacing w:after="200" w:line="276" w:lineRule="auto"/>
        <w:ind w:left="284" w:hanging="284"/>
        <w:rPr>
          <w:sz w:val="18"/>
          <w:szCs w:val="18"/>
        </w:rPr>
      </w:pPr>
      <w:r w:rsidRPr="008A702B">
        <w:rPr>
          <w:sz w:val="18"/>
          <w:szCs w:val="18"/>
        </w:rPr>
        <w:t>Capital strategies where the fund seeks to take bigger stakes in large companies with the potential for good long-term returns. Using this strategy, the fund may seek to take positions in special situations such as new share sales, changes to capital structures and in companies planning to list on exchanges</w:t>
      </w:r>
    </w:p>
    <w:p w:rsidR="008B7A70" w:rsidRPr="00913952" w:rsidRDefault="007E48C4" w:rsidP="008A702B">
      <w:pPr>
        <w:pStyle w:val="ListParagraph"/>
        <w:numPr>
          <w:ilvl w:val="0"/>
          <w:numId w:val="2"/>
        </w:numPr>
        <w:spacing w:after="200" w:line="276" w:lineRule="auto"/>
        <w:ind w:left="284" w:hanging="284"/>
        <w:rPr>
          <w:sz w:val="18"/>
          <w:szCs w:val="18"/>
        </w:rPr>
      </w:pPr>
      <w:r w:rsidRPr="00913952">
        <w:rPr>
          <w:sz w:val="18"/>
          <w:szCs w:val="18"/>
        </w:rPr>
        <w:t xml:space="preserve">External strategies where </w:t>
      </w:r>
      <w:r w:rsidR="008B7A70" w:rsidRPr="00913952">
        <w:rPr>
          <w:sz w:val="18"/>
          <w:szCs w:val="18"/>
        </w:rPr>
        <w:t xml:space="preserve">external managers </w:t>
      </w:r>
      <w:r w:rsidRPr="00913952">
        <w:rPr>
          <w:sz w:val="18"/>
          <w:szCs w:val="18"/>
        </w:rPr>
        <w:t xml:space="preserve">are used </w:t>
      </w:r>
      <w:r w:rsidR="008B7A70" w:rsidRPr="00913952">
        <w:rPr>
          <w:sz w:val="18"/>
          <w:szCs w:val="18"/>
        </w:rPr>
        <w:t>to handle 3</w:t>
      </w:r>
      <w:r w:rsidR="00D523B5" w:rsidRPr="00913952">
        <w:rPr>
          <w:sz w:val="18"/>
          <w:szCs w:val="18"/>
        </w:rPr>
        <w:t>.8 percent</w:t>
      </w:r>
      <w:r w:rsidR="008B7A70" w:rsidRPr="00913952">
        <w:rPr>
          <w:sz w:val="18"/>
          <w:szCs w:val="18"/>
        </w:rPr>
        <w:t xml:space="preserve"> of the fund’s investments</w:t>
      </w:r>
    </w:p>
    <w:p w:rsidR="008B7A70" w:rsidRDefault="008B7A70" w:rsidP="008A702B">
      <w:pPr>
        <w:pStyle w:val="Heading1"/>
      </w:pPr>
      <w:r>
        <w:t>Fixed income</w:t>
      </w:r>
    </w:p>
    <w:p w:rsidR="008B7A70" w:rsidRPr="00913952" w:rsidRDefault="008B7A70" w:rsidP="008A702B">
      <w:pPr>
        <w:spacing w:after="200" w:line="276" w:lineRule="auto"/>
        <w:rPr>
          <w:sz w:val="18"/>
          <w:szCs w:val="18"/>
        </w:rPr>
      </w:pPr>
      <w:r w:rsidRPr="00913952">
        <w:rPr>
          <w:sz w:val="18"/>
          <w:szCs w:val="18"/>
        </w:rPr>
        <w:t>The fund’s fixed-inco</w:t>
      </w:r>
      <w:r w:rsidR="001A13E0" w:rsidRPr="00913952">
        <w:rPr>
          <w:sz w:val="18"/>
          <w:szCs w:val="18"/>
        </w:rPr>
        <w:t>me investments are allocated 70 percent</w:t>
      </w:r>
      <w:r w:rsidRPr="00913952">
        <w:rPr>
          <w:sz w:val="18"/>
          <w:szCs w:val="18"/>
        </w:rPr>
        <w:t xml:space="preserve"> to bonds issued by governments </w:t>
      </w:r>
      <w:r w:rsidR="00D523B5" w:rsidRPr="00913952">
        <w:rPr>
          <w:sz w:val="18"/>
          <w:szCs w:val="18"/>
        </w:rPr>
        <w:t>and related institutions and 30 percent</w:t>
      </w:r>
      <w:r w:rsidRPr="00913952">
        <w:rPr>
          <w:sz w:val="18"/>
          <w:szCs w:val="18"/>
        </w:rPr>
        <w:t xml:space="preserve"> to securities issued by the corporate sector. All corporate bond investments are made after a credit assessment; holdings in non-investment grade bon</w:t>
      </w:r>
      <w:r w:rsidR="00D523B5" w:rsidRPr="00913952">
        <w:rPr>
          <w:sz w:val="18"/>
          <w:szCs w:val="18"/>
        </w:rPr>
        <w:t>ds are targeted to not exceed 5percent</w:t>
      </w:r>
      <w:r w:rsidRPr="00913952">
        <w:rPr>
          <w:sz w:val="18"/>
          <w:szCs w:val="18"/>
        </w:rPr>
        <w:t xml:space="preserve"> of the overall fixed-income portfolio. </w:t>
      </w:r>
    </w:p>
    <w:p w:rsidR="008B7A70" w:rsidRPr="00913952" w:rsidRDefault="008B7A70" w:rsidP="008A702B">
      <w:pPr>
        <w:spacing w:after="200" w:line="276" w:lineRule="auto"/>
        <w:rPr>
          <w:sz w:val="18"/>
          <w:szCs w:val="18"/>
        </w:rPr>
      </w:pPr>
      <w:r w:rsidRPr="00913952">
        <w:rPr>
          <w:sz w:val="18"/>
          <w:szCs w:val="18"/>
        </w:rPr>
        <w:t>The investments in government bonds are, as a starting point, distributed according to the economic size of a country, as measured by its gross domestic product.</w:t>
      </w:r>
    </w:p>
    <w:p w:rsidR="008B7A70" w:rsidRPr="008B7A70" w:rsidRDefault="008B7A70" w:rsidP="008A702B">
      <w:pPr>
        <w:pStyle w:val="Heading1"/>
      </w:pPr>
      <w:r w:rsidRPr="008B7A70">
        <w:t xml:space="preserve">Real </w:t>
      </w:r>
      <w:r w:rsidR="00D523B5">
        <w:t>e</w:t>
      </w:r>
      <w:r w:rsidRPr="008B7A70">
        <w:t>state</w:t>
      </w:r>
    </w:p>
    <w:p w:rsidR="008B7A70" w:rsidRPr="00913952" w:rsidRDefault="007E48C4" w:rsidP="008A702B">
      <w:pPr>
        <w:spacing w:line="240" w:lineRule="auto"/>
        <w:rPr>
          <w:sz w:val="18"/>
          <w:szCs w:val="18"/>
        </w:rPr>
      </w:pPr>
      <w:r w:rsidRPr="00913952">
        <w:rPr>
          <w:sz w:val="18"/>
          <w:szCs w:val="18"/>
        </w:rPr>
        <w:t xml:space="preserve">The fund’s </w:t>
      </w:r>
      <w:r w:rsidR="008B7A70" w:rsidRPr="00913952">
        <w:rPr>
          <w:sz w:val="18"/>
          <w:szCs w:val="18"/>
        </w:rPr>
        <w:t xml:space="preserve">real estate </w:t>
      </w:r>
      <w:r w:rsidRPr="00913952">
        <w:rPr>
          <w:sz w:val="18"/>
          <w:szCs w:val="18"/>
        </w:rPr>
        <w:t>investments accounted for 1.</w:t>
      </w:r>
      <w:r w:rsidR="008B7A70" w:rsidRPr="00913952">
        <w:rPr>
          <w:sz w:val="18"/>
          <w:szCs w:val="18"/>
        </w:rPr>
        <w:t xml:space="preserve">2 percent of the </w:t>
      </w:r>
      <w:r w:rsidRPr="00913952">
        <w:rPr>
          <w:sz w:val="18"/>
          <w:szCs w:val="18"/>
        </w:rPr>
        <w:t xml:space="preserve">value of the </w:t>
      </w:r>
      <w:r w:rsidR="008B7A70" w:rsidRPr="00913952">
        <w:rPr>
          <w:sz w:val="18"/>
          <w:szCs w:val="18"/>
        </w:rPr>
        <w:t>fund at the end of March 2014</w:t>
      </w:r>
      <w:r w:rsidRPr="00913952">
        <w:rPr>
          <w:sz w:val="18"/>
          <w:szCs w:val="18"/>
        </w:rPr>
        <w:t xml:space="preserve">. Real estate investments are to </w:t>
      </w:r>
      <w:r w:rsidR="008B7A70" w:rsidRPr="00913952">
        <w:rPr>
          <w:sz w:val="18"/>
          <w:szCs w:val="18"/>
        </w:rPr>
        <w:t>increase gradually to as much as 5 percent</w:t>
      </w:r>
      <w:r w:rsidRPr="00913952">
        <w:rPr>
          <w:sz w:val="18"/>
          <w:szCs w:val="18"/>
        </w:rPr>
        <w:t xml:space="preserve">. </w:t>
      </w:r>
      <w:r w:rsidR="008B7A70" w:rsidRPr="00913952">
        <w:rPr>
          <w:sz w:val="18"/>
          <w:szCs w:val="18"/>
        </w:rPr>
        <w:t>New investments will primarily be in well-developed markets and in office and retail properties</w:t>
      </w:r>
    </w:p>
    <w:p w:rsidR="008B7A70" w:rsidRDefault="008B7A70" w:rsidP="008A702B">
      <w:pPr>
        <w:pStyle w:val="Heading1"/>
      </w:pPr>
      <w:r>
        <w:t>Responsible investment</w:t>
      </w:r>
    </w:p>
    <w:p w:rsidR="008B7A70" w:rsidRPr="00913952" w:rsidRDefault="008B7A70" w:rsidP="008A702B">
      <w:pPr>
        <w:spacing w:after="200" w:line="276" w:lineRule="auto"/>
        <w:rPr>
          <w:sz w:val="18"/>
          <w:szCs w:val="18"/>
        </w:rPr>
      </w:pPr>
      <w:r w:rsidRPr="00913952">
        <w:rPr>
          <w:sz w:val="18"/>
          <w:szCs w:val="18"/>
        </w:rPr>
        <w:t xml:space="preserve">Norges Bank Investment Management’s active ownership helps safeguard the long term value of the fund. The tools for active ownership are dialogue with companies, investors, authorities and other standard setters, voting at shareholder meetings and filing shareholder proposals. </w:t>
      </w:r>
      <w:r w:rsidR="00D523B5" w:rsidRPr="00913952">
        <w:rPr>
          <w:sz w:val="18"/>
          <w:szCs w:val="18"/>
        </w:rPr>
        <w:t>We</w:t>
      </w:r>
      <w:r w:rsidRPr="00913952">
        <w:rPr>
          <w:sz w:val="18"/>
          <w:szCs w:val="18"/>
        </w:rPr>
        <w:t xml:space="preserve"> voted at 9583 shareholder meetings in 2013.</w:t>
      </w:r>
    </w:p>
    <w:p w:rsidR="00D523B5" w:rsidRPr="00913952" w:rsidRDefault="00D523B5" w:rsidP="008A702B">
      <w:pPr>
        <w:spacing w:after="200" w:line="276" w:lineRule="auto"/>
        <w:rPr>
          <w:sz w:val="18"/>
          <w:szCs w:val="18"/>
        </w:rPr>
      </w:pPr>
      <w:r w:rsidRPr="00913952">
        <w:rPr>
          <w:sz w:val="18"/>
          <w:szCs w:val="18"/>
        </w:rPr>
        <w:t xml:space="preserve">We have </w:t>
      </w:r>
      <w:r w:rsidR="008B7A70" w:rsidRPr="00913952">
        <w:rPr>
          <w:sz w:val="18"/>
          <w:szCs w:val="18"/>
        </w:rPr>
        <w:t xml:space="preserve">six strategic focus areas are: Equal treatment of shareholders, shareholder influence and board accountability, well-functioning, legitimate and efficient markets, children’s rights, climate change risk management and water management. </w:t>
      </w:r>
    </w:p>
    <w:p w:rsidR="008B7A70" w:rsidRPr="00913952" w:rsidRDefault="008B7A70" w:rsidP="008A702B">
      <w:pPr>
        <w:spacing w:after="200" w:line="276" w:lineRule="auto"/>
        <w:rPr>
          <w:rFonts w:cs="Arial"/>
          <w:color w:val="313435"/>
          <w:sz w:val="18"/>
          <w:szCs w:val="18"/>
        </w:rPr>
      </w:pPr>
      <w:r w:rsidRPr="00913952">
        <w:rPr>
          <w:sz w:val="18"/>
          <w:szCs w:val="18"/>
        </w:rPr>
        <w:t>The m</w:t>
      </w:r>
      <w:r w:rsidRPr="00913952">
        <w:rPr>
          <w:rFonts w:cs="Arial"/>
          <w:color w:val="313435"/>
          <w:sz w:val="18"/>
          <w:szCs w:val="18"/>
        </w:rPr>
        <w:t>inistry decides on the exclusion of companies from the fund’s investment universe, or to place them on an observation list. The decisions are based on recommendations from the Council of Ethics.</w:t>
      </w:r>
    </w:p>
    <w:p w:rsidR="00913952" w:rsidRDefault="00913952" w:rsidP="00D523B5">
      <w:pPr>
        <w:pStyle w:val="Heading1"/>
      </w:pPr>
    </w:p>
    <w:p w:rsidR="00D523B5" w:rsidRDefault="00D523B5" w:rsidP="00D523B5">
      <w:pPr>
        <w:pStyle w:val="Heading1"/>
      </w:pPr>
      <w:r>
        <w:t>More information</w:t>
      </w:r>
    </w:p>
    <w:p w:rsidR="00913952" w:rsidRDefault="00D523B5" w:rsidP="008B7A70">
      <w:pPr>
        <w:spacing w:after="200" w:line="276" w:lineRule="auto"/>
        <w:rPr>
          <w:rStyle w:val="Heading1Char"/>
        </w:rPr>
      </w:pPr>
      <w:r w:rsidRPr="00913952">
        <w:rPr>
          <w:rFonts w:cs="Arial"/>
          <w:color w:val="313435"/>
          <w:sz w:val="18"/>
          <w:szCs w:val="18"/>
        </w:rPr>
        <w:t xml:space="preserve">About the fund and Norges Bank Investment Management on </w:t>
      </w:r>
      <w:hyperlink r:id="rId13" w:history="1">
        <w:r w:rsidRPr="00913952">
          <w:rPr>
            <w:rStyle w:val="Hyperlink"/>
            <w:sz w:val="18"/>
            <w:szCs w:val="18"/>
          </w:rPr>
          <w:t>www.nbim.no</w:t>
        </w:r>
      </w:hyperlink>
      <w:r w:rsidRPr="00913952">
        <w:rPr>
          <w:rFonts w:cs="Arial"/>
          <w:color w:val="313435"/>
          <w:sz w:val="18"/>
          <w:szCs w:val="18"/>
        </w:rPr>
        <w:t xml:space="preserve"> </w:t>
      </w:r>
      <w:r w:rsidR="0031240F" w:rsidRPr="00913952">
        <w:rPr>
          <w:rFonts w:cs="Arial"/>
          <w:color w:val="313435"/>
          <w:sz w:val="18"/>
          <w:szCs w:val="18"/>
        </w:rPr>
        <w:br/>
      </w:r>
      <w:proofErr w:type="gramStart"/>
      <w:r w:rsidRPr="00913952">
        <w:rPr>
          <w:sz w:val="18"/>
          <w:szCs w:val="18"/>
        </w:rPr>
        <w:t>The</w:t>
      </w:r>
      <w:proofErr w:type="gramEnd"/>
      <w:r w:rsidRPr="00913952">
        <w:rPr>
          <w:sz w:val="18"/>
          <w:szCs w:val="18"/>
        </w:rPr>
        <w:t xml:space="preserve"> fund’s holdings: </w:t>
      </w:r>
      <w:hyperlink r:id="rId14" w:history="1">
        <w:r w:rsidRPr="00913952">
          <w:rPr>
            <w:rStyle w:val="Hyperlink"/>
            <w:sz w:val="18"/>
            <w:szCs w:val="18"/>
          </w:rPr>
          <w:t>http://www.nbim.no/en/the-fund/holdings-/</w:t>
        </w:r>
      </w:hyperlink>
      <w:r w:rsidR="0031240F" w:rsidRPr="00913952">
        <w:rPr>
          <w:rFonts w:cs="Arial"/>
          <w:color w:val="313435"/>
          <w:sz w:val="18"/>
          <w:szCs w:val="18"/>
        </w:rPr>
        <w:br/>
      </w:r>
    </w:p>
    <w:p w:rsidR="00913952" w:rsidRPr="00913952" w:rsidRDefault="00913952" w:rsidP="008B7A70">
      <w:pPr>
        <w:spacing w:after="200" w:line="276" w:lineRule="auto"/>
        <w:rPr>
          <w:rStyle w:val="Heading1Char"/>
        </w:rPr>
      </w:pPr>
      <w:r w:rsidRPr="00913952">
        <w:rPr>
          <w:rStyle w:val="Heading1Char"/>
        </w:rPr>
        <w:t>Contact information</w:t>
      </w:r>
    </w:p>
    <w:p w:rsidR="008B7A70" w:rsidRPr="00913952" w:rsidRDefault="00D523B5" w:rsidP="008B7A70">
      <w:pPr>
        <w:spacing w:after="200" w:line="276" w:lineRule="auto"/>
        <w:rPr>
          <w:rFonts w:cs="Arial"/>
          <w:color w:val="313435"/>
          <w:sz w:val="18"/>
          <w:szCs w:val="18"/>
        </w:rPr>
      </w:pPr>
      <w:r w:rsidRPr="00913952">
        <w:rPr>
          <w:sz w:val="18"/>
          <w:szCs w:val="18"/>
        </w:rPr>
        <w:t xml:space="preserve">Corporate contact: </w:t>
      </w:r>
      <w:hyperlink r:id="rId15" w:history="1">
        <w:r w:rsidRPr="00913952">
          <w:rPr>
            <w:rStyle w:val="Hyperlink"/>
            <w:sz w:val="18"/>
            <w:szCs w:val="18"/>
          </w:rPr>
          <w:t>corporateaccess@nbim.no</w:t>
        </w:r>
      </w:hyperlink>
      <w:r w:rsidR="0031240F" w:rsidRPr="00913952">
        <w:rPr>
          <w:rStyle w:val="Hyperlink"/>
          <w:rFonts w:cs="Arial"/>
          <w:color w:val="313435"/>
          <w:sz w:val="18"/>
          <w:szCs w:val="18"/>
          <w:u w:val="none"/>
        </w:rPr>
        <w:br/>
      </w:r>
      <w:proofErr w:type="gramStart"/>
      <w:r w:rsidRPr="00913952">
        <w:rPr>
          <w:sz w:val="18"/>
          <w:szCs w:val="18"/>
        </w:rPr>
        <w:t>Other</w:t>
      </w:r>
      <w:proofErr w:type="gramEnd"/>
      <w:r w:rsidRPr="00913952">
        <w:rPr>
          <w:sz w:val="18"/>
          <w:szCs w:val="18"/>
        </w:rPr>
        <w:t xml:space="preserve"> information: </w:t>
      </w:r>
      <w:hyperlink r:id="rId16" w:history="1">
        <w:r w:rsidRPr="00913952">
          <w:rPr>
            <w:rStyle w:val="Hyperlink"/>
            <w:sz w:val="18"/>
            <w:szCs w:val="18"/>
          </w:rPr>
          <w:t>contact@nbim.no</w:t>
        </w:r>
      </w:hyperlink>
    </w:p>
    <w:sectPr w:rsidR="008B7A70" w:rsidRPr="00913952" w:rsidSect="009A4FB6">
      <w:headerReference w:type="default" r:id="rId17"/>
      <w:footerReference w:type="default" r:id="rId18"/>
      <w:headerReference w:type="first" r:id="rId19"/>
      <w:footerReference w:type="first" r:id="rId20"/>
      <w:type w:val="continuous"/>
      <w:pgSz w:w="11906" w:h="16838"/>
      <w:pgMar w:top="2552" w:right="1418" w:bottom="1418" w:left="1418" w:header="709"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BCD" w:rsidRDefault="00542BCD" w:rsidP="000A48A2">
      <w:pPr>
        <w:spacing w:line="240" w:lineRule="auto"/>
      </w:pPr>
      <w:r>
        <w:separator/>
      </w:r>
    </w:p>
  </w:endnote>
  <w:endnote w:type="continuationSeparator" w:id="0">
    <w:p w:rsidR="00542BCD" w:rsidRDefault="00542BCD" w:rsidP="000A48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crosoft JhengHei">
    <w:altName w:val="微軟正黑體"/>
    <w:panose1 w:val="020B0604030504040204"/>
    <w:charset w:val="88"/>
    <w:family w:val="swiss"/>
    <w:pitch w:val="variable"/>
    <w:sig w:usb0="00000087" w:usb1="288F4000" w:usb2="00000016" w:usb3="00000000" w:csb0="00100009"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6B2" w:rsidRDefault="00EA66B2" w:rsidP="00EA66B2">
    <w:pPr>
      <w:pStyle w:val="Footer"/>
    </w:pPr>
    <w:r>
      <w:t xml:space="preserve">Page </w:t>
    </w:r>
    <w:r>
      <w:fldChar w:fldCharType="begin"/>
    </w:r>
    <w:r>
      <w:instrText xml:space="preserve"> PAGE  \* Arabic  \* MERGEFORMAT </w:instrText>
    </w:r>
    <w:r>
      <w:fldChar w:fldCharType="separate"/>
    </w:r>
    <w:r w:rsidR="00FD2541">
      <w:rPr>
        <w:noProof/>
      </w:rPr>
      <w:t>2</w:t>
    </w:r>
    <w:r>
      <w:fldChar w:fldCharType="end"/>
    </w:r>
    <w:r>
      <w:t xml:space="preserve"> (</w:t>
    </w:r>
    <w:r w:rsidR="008A702B">
      <w:fldChar w:fldCharType="begin"/>
    </w:r>
    <w:r w:rsidR="008A702B">
      <w:instrText xml:space="preserve"> NUMPAGES  \* Arabic  \* MERGEF</w:instrText>
    </w:r>
    <w:r w:rsidR="008A702B">
      <w:instrText xml:space="preserve">ORMAT </w:instrText>
    </w:r>
    <w:r w:rsidR="008A702B">
      <w:fldChar w:fldCharType="separate"/>
    </w:r>
    <w:r w:rsidR="00913952">
      <w:rPr>
        <w:noProof/>
      </w:rPr>
      <w:t>2</w:t>
    </w:r>
    <w:r w:rsidR="008A702B">
      <w:rPr>
        <w:noProof/>
      </w:rPr>
      <w:fldChar w:fldCharType="end"/>
    </w:r>
    <w: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6B2" w:rsidRDefault="00EA66B2">
    <w:pPr>
      <w:pStyle w:val="Footer"/>
    </w:pPr>
    <w:r>
      <w:t xml:space="preserve">Page </w:t>
    </w:r>
    <w:r>
      <w:fldChar w:fldCharType="begin"/>
    </w:r>
    <w:r>
      <w:instrText xml:space="preserve"> PAGE  \* Arabic  \* MERGEFORMAT </w:instrText>
    </w:r>
    <w:r>
      <w:fldChar w:fldCharType="separate"/>
    </w:r>
    <w:r w:rsidR="008A702B">
      <w:rPr>
        <w:noProof/>
      </w:rPr>
      <w:t>1</w:t>
    </w:r>
    <w:r>
      <w:fldChar w:fldCharType="end"/>
    </w:r>
    <w:r>
      <w:t xml:space="preserve"> (</w:t>
    </w:r>
    <w:fldSimple w:instr=" NUMPAGES  \* Arabic  \* MERGEFORMAT ">
      <w:r w:rsidR="008A702B">
        <w:rPr>
          <w:noProof/>
        </w:rPr>
        <w:t>3</w:t>
      </w:r>
    </w:fldSimple>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40F" w:rsidRDefault="0031240F" w:rsidP="00EA66B2">
    <w:pPr>
      <w:pStyle w:val="Footer"/>
    </w:pPr>
    <w:r>
      <w:t xml:space="preserve">Page </w:t>
    </w:r>
    <w:r>
      <w:fldChar w:fldCharType="begin"/>
    </w:r>
    <w:r>
      <w:instrText xml:space="preserve"> PAGE  \* Arabic  \* MERGEFORMAT </w:instrText>
    </w:r>
    <w:r>
      <w:fldChar w:fldCharType="separate"/>
    </w:r>
    <w:r w:rsidR="008A702B">
      <w:rPr>
        <w:noProof/>
      </w:rPr>
      <w:t>2</w:t>
    </w:r>
    <w:r>
      <w:fldChar w:fldCharType="end"/>
    </w:r>
    <w:r>
      <w:t xml:space="preserve"> (</w:t>
    </w:r>
    <w:r>
      <w:fldChar w:fldCharType="begin"/>
    </w:r>
    <w:r>
      <w:instrText xml:space="preserve"> NUMPAGES  \* Arabic  \* MERGEFORMAT </w:instrText>
    </w:r>
    <w:r>
      <w:fldChar w:fldCharType="separate"/>
    </w:r>
    <w:r w:rsidR="008A702B">
      <w:rPr>
        <w:noProof/>
      </w:rPr>
      <w:t>3</w:t>
    </w:r>
    <w:r>
      <w:rPr>
        <w:noProof/>
      </w:rPr>
      <w:fldChar w:fldCharType="end"/>
    </w:r>
    <w: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40F" w:rsidRDefault="0031240F">
    <w:pPr>
      <w:pStyle w:val="Footer"/>
    </w:pPr>
    <w:r>
      <w:t xml:space="preserve">Page </w:t>
    </w:r>
    <w:r>
      <w:fldChar w:fldCharType="begin"/>
    </w:r>
    <w:r>
      <w:instrText xml:space="preserve"> PAGE  \* Arabic  \* MERGEFORMAT </w:instrText>
    </w:r>
    <w:r>
      <w:fldChar w:fldCharType="separate"/>
    </w:r>
    <w:r>
      <w:rPr>
        <w:noProof/>
      </w:rPr>
      <w:t>1</w:t>
    </w:r>
    <w:r>
      <w:fldChar w:fldCharType="end"/>
    </w:r>
    <w:r>
      <w:t xml:space="preserve"> (</w:t>
    </w:r>
    <w:r>
      <w:fldChar w:fldCharType="begin"/>
    </w:r>
    <w:r>
      <w:instrText xml:space="preserve"> NUMPAGES  \* Arabic  \* MERGEFORMAT </w:instrText>
    </w:r>
    <w:r>
      <w:fldChar w:fldCharType="separate"/>
    </w:r>
    <w:r w:rsidR="00913952">
      <w:rPr>
        <w:noProof/>
      </w:rPr>
      <w:t>2</w:t>
    </w:r>
    <w:r>
      <w:rPr>
        <w:noProof/>
      </w:rPr>
      <w:fldChar w:fldCharType="end"/>
    </w:r>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BCD" w:rsidRDefault="00542BCD" w:rsidP="000A48A2">
      <w:pPr>
        <w:spacing w:line="240" w:lineRule="auto"/>
      </w:pPr>
      <w:r>
        <w:separator/>
      </w:r>
    </w:p>
  </w:footnote>
  <w:footnote w:type="continuationSeparator" w:id="0">
    <w:p w:rsidR="00542BCD" w:rsidRDefault="00542BCD" w:rsidP="000A48A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6B2" w:rsidRDefault="00EA66B2">
    <w:pPr>
      <w:pStyle w:val="Header"/>
    </w:pPr>
    <w:r>
      <w:rPr>
        <w:noProof/>
        <w:lang w:eastAsia="zh-TW"/>
      </w:rPr>
      <w:drawing>
        <wp:anchor distT="0" distB="0" distL="114300" distR="114300" simplePos="0" relativeHeight="251659264" behindDoc="1" locked="0" layoutInCell="1" allowOverlap="1" wp14:anchorId="63FA7AB2" wp14:editId="1B41E46B">
          <wp:simplePos x="0" y="0"/>
          <wp:positionH relativeFrom="page">
            <wp:posOffset>6283325</wp:posOffset>
          </wp:positionH>
          <wp:positionV relativeFrom="page">
            <wp:posOffset>0</wp:posOffset>
          </wp:positionV>
          <wp:extent cx="1276985" cy="899160"/>
          <wp:effectExtent l="0" t="0" r="0" b="0"/>
          <wp:wrapNone/>
          <wp:docPr id="7"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BIM_Guideline_Logo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6985" cy="89916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8A2" w:rsidRPr="001F0E11" w:rsidRDefault="001F0E11">
    <w:pPr>
      <w:pStyle w:val="Header"/>
      <w:rPr>
        <w:color w:val="FFFFFF" w:themeColor="background1"/>
      </w:rPr>
    </w:pPr>
    <w:r w:rsidRPr="001F0E11">
      <w:rPr>
        <w:noProof/>
        <w:color w:val="FFFFFF" w:themeColor="background1"/>
        <w:lang w:eastAsia="zh-TW"/>
      </w:rPr>
      <w:drawing>
        <wp:anchor distT="0" distB="144145" distL="0" distR="0" simplePos="0" relativeHeight="251658240" behindDoc="1" locked="0" layoutInCell="1" allowOverlap="1" wp14:anchorId="49E4A9F9" wp14:editId="64598BC6">
          <wp:simplePos x="904875" y="447675"/>
          <wp:positionH relativeFrom="page">
            <wp:align>center</wp:align>
          </wp:positionH>
          <wp:positionV relativeFrom="page">
            <wp:align>top</wp:align>
          </wp:positionV>
          <wp:extent cx="7560000" cy="2880000"/>
          <wp:effectExtent l="0" t="0" r="3175" b="0"/>
          <wp:wrapSquare wrapText="bothSides"/>
          <wp:docPr id="8"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BIM_Principles_Top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288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40F" w:rsidRDefault="0031240F">
    <w:pPr>
      <w:pStyle w:val="Header"/>
    </w:pPr>
    <w:r>
      <w:rPr>
        <w:noProof/>
        <w:lang w:eastAsia="zh-TW"/>
      </w:rPr>
      <w:drawing>
        <wp:anchor distT="0" distB="0" distL="114300" distR="114300" simplePos="0" relativeHeight="251662336" behindDoc="1" locked="0" layoutInCell="1" allowOverlap="1" wp14:anchorId="421FB9F5" wp14:editId="562DC458">
          <wp:simplePos x="0" y="0"/>
          <wp:positionH relativeFrom="page">
            <wp:posOffset>6283325</wp:posOffset>
          </wp:positionH>
          <wp:positionV relativeFrom="page">
            <wp:posOffset>0</wp:posOffset>
          </wp:positionV>
          <wp:extent cx="1276985" cy="899160"/>
          <wp:effectExtent l="0" t="0" r="0" b="0"/>
          <wp:wrapNone/>
          <wp:docPr id="2"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BIM_Guideline_Logo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6985" cy="899160"/>
                  </a:xfrm>
                  <a:prstGeom prst="rect">
                    <a:avLst/>
                  </a:prstGeom>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40F" w:rsidRPr="001F0E11" w:rsidRDefault="0031240F">
    <w:pPr>
      <w:pStyle w:val="Header"/>
      <w:rPr>
        <w:color w:val="FFFFFF" w:themeColor="background1"/>
      </w:rPr>
    </w:pPr>
    <w:r w:rsidRPr="001F0E11">
      <w:rPr>
        <w:noProof/>
        <w:color w:val="FFFFFF" w:themeColor="background1"/>
        <w:lang w:eastAsia="zh-TW"/>
      </w:rPr>
      <w:drawing>
        <wp:anchor distT="0" distB="144145" distL="0" distR="0" simplePos="0" relativeHeight="251661312" behindDoc="1" locked="0" layoutInCell="1" allowOverlap="1" wp14:anchorId="34D243BA" wp14:editId="017D15A9">
          <wp:simplePos x="904875" y="447675"/>
          <wp:positionH relativeFrom="page">
            <wp:align>center</wp:align>
          </wp:positionH>
          <wp:positionV relativeFrom="page">
            <wp:align>top</wp:align>
          </wp:positionV>
          <wp:extent cx="7560000" cy="2880000"/>
          <wp:effectExtent l="0" t="0" r="3175" b="0"/>
          <wp:wrapSquare wrapText="bothSides"/>
          <wp:docPr id="3"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BIM_Principles_Top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288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20070"/>
    <w:multiLevelType w:val="hybridMultilevel"/>
    <w:tmpl w:val="DF2E9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4773E42"/>
    <w:multiLevelType w:val="hybridMultilevel"/>
    <w:tmpl w:val="4BC41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5B143F8"/>
    <w:multiLevelType w:val="hybridMultilevel"/>
    <w:tmpl w:val="9DCAC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2DB4B3F"/>
    <w:multiLevelType w:val="hybridMultilevel"/>
    <w:tmpl w:val="0AF6E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7957ECA"/>
    <w:multiLevelType w:val="hybridMultilevel"/>
    <w:tmpl w:val="CC38FB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3AA559F"/>
    <w:multiLevelType w:val="hybridMultilevel"/>
    <w:tmpl w:val="E6AE4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82D7F8B"/>
    <w:multiLevelType w:val="hybridMultilevel"/>
    <w:tmpl w:val="95A8D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BCD"/>
    <w:rsid w:val="000A48A2"/>
    <w:rsid w:val="001A13E0"/>
    <w:rsid w:val="001B4EAA"/>
    <w:rsid w:val="001F0E11"/>
    <w:rsid w:val="00205B9F"/>
    <w:rsid w:val="0031240F"/>
    <w:rsid w:val="004E287B"/>
    <w:rsid w:val="00542BCD"/>
    <w:rsid w:val="005C327B"/>
    <w:rsid w:val="006226AC"/>
    <w:rsid w:val="006334FD"/>
    <w:rsid w:val="007E48C4"/>
    <w:rsid w:val="008A702B"/>
    <w:rsid w:val="008B7A70"/>
    <w:rsid w:val="00913952"/>
    <w:rsid w:val="009A4FB6"/>
    <w:rsid w:val="009F5F5C"/>
    <w:rsid w:val="00B35D0C"/>
    <w:rsid w:val="00D523B5"/>
    <w:rsid w:val="00D61D15"/>
    <w:rsid w:val="00E87C1E"/>
    <w:rsid w:val="00EA66B2"/>
    <w:rsid w:val="00F627E1"/>
    <w:rsid w:val="00FD2541"/>
  </w:rsids>
  <m:mathPr>
    <m:mathFont m:val="Cambria Math"/>
    <m:brkBin m:val="before"/>
    <m:brkBinSub m:val="--"/>
    <m:smallFrac m:val="0"/>
    <m:dispDef/>
    <m:lMargin m:val="0"/>
    <m:rMargin m:val="0"/>
    <m:defJc m:val="centerGroup"/>
    <m:wrapIndent m:val="1440"/>
    <m:intLim m:val="subSup"/>
    <m:naryLim m:val="undOvr"/>
  </m:mathPr>
  <w:themeFontLang w:val="nb-NO"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qFormat="1"/>
    <w:lsdException w:name="Default Paragraph Font" w:uiPriority="1" w:unhideWhenUsed="1"/>
    <w:lsdException w:name="Subtitle" w:semiHidden="0" w:uiPriority="11" w:qFormat="1"/>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6334FD"/>
    <w:pPr>
      <w:spacing w:after="0"/>
    </w:pPr>
    <w:rPr>
      <w:sz w:val="20"/>
      <w:lang w:val="en-GB"/>
    </w:rPr>
  </w:style>
  <w:style w:type="paragraph" w:styleId="Heading1">
    <w:name w:val="heading 1"/>
    <w:basedOn w:val="Normal"/>
    <w:next w:val="Normal"/>
    <w:link w:val="Heading1Char"/>
    <w:uiPriority w:val="9"/>
    <w:qFormat/>
    <w:rsid w:val="006334FD"/>
    <w:pPr>
      <w:keepNext/>
      <w:keepLines/>
      <w:spacing w:before="240" w:after="240"/>
      <w:outlineLvl w:val="0"/>
    </w:pPr>
    <w:rPr>
      <w:rFonts w:asciiTheme="majorHAnsi" w:eastAsiaTheme="majorEastAsia" w:hAnsiTheme="majorHAnsi" w:cstheme="majorBidi"/>
      <w:color w:val="2C7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A48A2"/>
    <w:pPr>
      <w:tabs>
        <w:tab w:val="center" w:pos="4536"/>
        <w:tab w:val="right" w:pos="9072"/>
      </w:tabs>
      <w:spacing w:line="240" w:lineRule="auto"/>
    </w:pPr>
  </w:style>
  <w:style w:type="character" w:customStyle="1" w:styleId="HeaderChar">
    <w:name w:val="Header Char"/>
    <w:basedOn w:val="DefaultParagraphFont"/>
    <w:link w:val="Header"/>
    <w:uiPriority w:val="99"/>
    <w:semiHidden/>
    <w:rsid w:val="000A48A2"/>
  </w:style>
  <w:style w:type="paragraph" w:styleId="Footer">
    <w:name w:val="footer"/>
    <w:basedOn w:val="Normal"/>
    <w:link w:val="FooterChar"/>
    <w:uiPriority w:val="99"/>
    <w:rsid w:val="00EA66B2"/>
    <w:pPr>
      <w:tabs>
        <w:tab w:val="center" w:pos="4536"/>
        <w:tab w:val="right" w:pos="9072"/>
      </w:tabs>
      <w:spacing w:line="240" w:lineRule="auto"/>
      <w:jc w:val="right"/>
    </w:pPr>
    <w:rPr>
      <w:sz w:val="14"/>
    </w:rPr>
  </w:style>
  <w:style w:type="character" w:customStyle="1" w:styleId="FooterChar">
    <w:name w:val="Footer Char"/>
    <w:basedOn w:val="DefaultParagraphFont"/>
    <w:link w:val="Footer"/>
    <w:uiPriority w:val="99"/>
    <w:rsid w:val="00EA66B2"/>
    <w:rPr>
      <w:sz w:val="14"/>
      <w:lang w:val="en-GB"/>
    </w:rPr>
  </w:style>
  <w:style w:type="character" w:customStyle="1" w:styleId="Heading1Char">
    <w:name w:val="Heading 1 Char"/>
    <w:basedOn w:val="DefaultParagraphFont"/>
    <w:link w:val="Heading1"/>
    <w:uiPriority w:val="9"/>
    <w:rsid w:val="006334FD"/>
    <w:rPr>
      <w:rFonts w:asciiTheme="majorHAnsi" w:eastAsiaTheme="majorEastAsia" w:hAnsiTheme="majorHAnsi" w:cstheme="majorBidi"/>
      <w:color w:val="2C7496"/>
      <w:sz w:val="32"/>
      <w:szCs w:val="32"/>
    </w:rPr>
  </w:style>
  <w:style w:type="paragraph" w:styleId="Title">
    <w:name w:val="Title"/>
    <w:basedOn w:val="Normal"/>
    <w:next w:val="Normal"/>
    <w:link w:val="TitleChar"/>
    <w:uiPriority w:val="10"/>
    <w:qFormat/>
    <w:rsid w:val="001F0E11"/>
    <w:pPr>
      <w:spacing w:line="240" w:lineRule="auto"/>
      <w:contextualSpacing/>
    </w:pPr>
    <w:rPr>
      <w:rFonts w:asciiTheme="majorHAnsi" w:eastAsiaTheme="majorEastAsia" w:hAnsiTheme="majorHAnsi" w:cstheme="majorBidi"/>
      <w:b/>
      <w:caps/>
      <w:color w:val="FFFFFF" w:themeColor="background1"/>
      <w:spacing w:val="-10"/>
      <w:kern w:val="28"/>
      <w:sz w:val="50"/>
      <w:szCs w:val="56"/>
    </w:rPr>
  </w:style>
  <w:style w:type="character" w:customStyle="1" w:styleId="TitleChar">
    <w:name w:val="Title Char"/>
    <w:basedOn w:val="DefaultParagraphFont"/>
    <w:link w:val="Title"/>
    <w:uiPriority w:val="10"/>
    <w:rsid w:val="001F0E11"/>
    <w:rPr>
      <w:rFonts w:asciiTheme="majorHAnsi" w:eastAsiaTheme="majorEastAsia" w:hAnsiTheme="majorHAnsi" w:cstheme="majorBidi"/>
      <w:b/>
      <w:caps/>
      <w:color w:val="FFFFFF" w:themeColor="background1"/>
      <w:spacing w:val="-10"/>
      <w:kern w:val="28"/>
      <w:sz w:val="50"/>
      <w:szCs w:val="56"/>
    </w:rPr>
  </w:style>
  <w:style w:type="paragraph" w:styleId="Subtitle">
    <w:name w:val="Subtitle"/>
    <w:basedOn w:val="Normal"/>
    <w:next w:val="Normal"/>
    <w:link w:val="SubtitleChar"/>
    <w:uiPriority w:val="11"/>
    <w:qFormat/>
    <w:rsid w:val="001F0E11"/>
    <w:pPr>
      <w:numPr>
        <w:ilvl w:val="1"/>
      </w:numPr>
    </w:pPr>
    <w:rPr>
      <w:rFonts w:eastAsiaTheme="minorEastAsia"/>
      <w:caps/>
      <w:color w:val="003C67"/>
      <w:spacing w:val="15"/>
      <w:sz w:val="24"/>
    </w:rPr>
  </w:style>
  <w:style w:type="character" w:customStyle="1" w:styleId="SubtitleChar">
    <w:name w:val="Subtitle Char"/>
    <w:basedOn w:val="DefaultParagraphFont"/>
    <w:link w:val="Subtitle"/>
    <w:uiPriority w:val="11"/>
    <w:rsid w:val="001F0E11"/>
    <w:rPr>
      <w:rFonts w:eastAsiaTheme="minorEastAsia"/>
      <w:caps/>
      <w:color w:val="003C67"/>
      <w:spacing w:val="15"/>
      <w:sz w:val="24"/>
    </w:rPr>
  </w:style>
  <w:style w:type="table" w:styleId="TableGrid">
    <w:name w:val="Table Grid"/>
    <w:basedOn w:val="TableNormal"/>
    <w:uiPriority w:val="59"/>
    <w:rsid w:val="001F0E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F0E11"/>
    <w:rPr>
      <w:color w:val="808080"/>
    </w:rPr>
  </w:style>
  <w:style w:type="paragraph" w:styleId="BalloonText">
    <w:name w:val="Balloon Text"/>
    <w:basedOn w:val="Normal"/>
    <w:link w:val="BalloonTextChar"/>
    <w:uiPriority w:val="99"/>
    <w:semiHidden/>
    <w:rsid w:val="00542BC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2BCD"/>
    <w:rPr>
      <w:rFonts w:ascii="Tahoma" w:hAnsi="Tahoma" w:cs="Tahoma"/>
      <w:sz w:val="16"/>
      <w:szCs w:val="16"/>
      <w:lang w:val="en-GB"/>
    </w:rPr>
  </w:style>
  <w:style w:type="paragraph" w:styleId="ListParagraph">
    <w:name w:val="List Paragraph"/>
    <w:basedOn w:val="Normal"/>
    <w:uiPriority w:val="34"/>
    <w:qFormat/>
    <w:rsid w:val="008B7A70"/>
    <w:pPr>
      <w:ind w:left="720"/>
      <w:contextualSpacing/>
    </w:pPr>
  </w:style>
  <w:style w:type="character" w:styleId="Hyperlink">
    <w:name w:val="Hyperlink"/>
    <w:basedOn w:val="DefaultParagraphFont"/>
    <w:uiPriority w:val="99"/>
    <w:unhideWhenUsed/>
    <w:rsid w:val="008B7A7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qFormat="1"/>
    <w:lsdException w:name="Default Paragraph Font" w:uiPriority="1" w:unhideWhenUsed="1"/>
    <w:lsdException w:name="Subtitle" w:semiHidden="0" w:uiPriority="11" w:qFormat="1"/>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6334FD"/>
    <w:pPr>
      <w:spacing w:after="0"/>
    </w:pPr>
    <w:rPr>
      <w:sz w:val="20"/>
      <w:lang w:val="en-GB"/>
    </w:rPr>
  </w:style>
  <w:style w:type="paragraph" w:styleId="Heading1">
    <w:name w:val="heading 1"/>
    <w:basedOn w:val="Normal"/>
    <w:next w:val="Normal"/>
    <w:link w:val="Heading1Char"/>
    <w:uiPriority w:val="9"/>
    <w:qFormat/>
    <w:rsid w:val="006334FD"/>
    <w:pPr>
      <w:keepNext/>
      <w:keepLines/>
      <w:spacing w:before="240" w:after="240"/>
      <w:outlineLvl w:val="0"/>
    </w:pPr>
    <w:rPr>
      <w:rFonts w:asciiTheme="majorHAnsi" w:eastAsiaTheme="majorEastAsia" w:hAnsiTheme="majorHAnsi" w:cstheme="majorBidi"/>
      <w:color w:val="2C7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A48A2"/>
    <w:pPr>
      <w:tabs>
        <w:tab w:val="center" w:pos="4536"/>
        <w:tab w:val="right" w:pos="9072"/>
      </w:tabs>
      <w:spacing w:line="240" w:lineRule="auto"/>
    </w:pPr>
  </w:style>
  <w:style w:type="character" w:customStyle="1" w:styleId="HeaderChar">
    <w:name w:val="Header Char"/>
    <w:basedOn w:val="DefaultParagraphFont"/>
    <w:link w:val="Header"/>
    <w:uiPriority w:val="99"/>
    <w:semiHidden/>
    <w:rsid w:val="000A48A2"/>
  </w:style>
  <w:style w:type="paragraph" w:styleId="Footer">
    <w:name w:val="footer"/>
    <w:basedOn w:val="Normal"/>
    <w:link w:val="FooterChar"/>
    <w:uiPriority w:val="99"/>
    <w:rsid w:val="00EA66B2"/>
    <w:pPr>
      <w:tabs>
        <w:tab w:val="center" w:pos="4536"/>
        <w:tab w:val="right" w:pos="9072"/>
      </w:tabs>
      <w:spacing w:line="240" w:lineRule="auto"/>
      <w:jc w:val="right"/>
    </w:pPr>
    <w:rPr>
      <w:sz w:val="14"/>
    </w:rPr>
  </w:style>
  <w:style w:type="character" w:customStyle="1" w:styleId="FooterChar">
    <w:name w:val="Footer Char"/>
    <w:basedOn w:val="DefaultParagraphFont"/>
    <w:link w:val="Footer"/>
    <w:uiPriority w:val="99"/>
    <w:rsid w:val="00EA66B2"/>
    <w:rPr>
      <w:sz w:val="14"/>
      <w:lang w:val="en-GB"/>
    </w:rPr>
  </w:style>
  <w:style w:type="character" w:customStyle="1" w:styleId="Heading1Char">
    <w:name w:val="Heading 1 Char"/>
    <w:basedOn w:val="DefaultParagraphFont"/>
    <w:link w:val="Heading1"/>
    <w:uiPriority w:val="9"/>
    <w:rsid w:val="006334FD"/>
    <w:rPr>
      <w:rFonts w:asciiTheme="majorHAnsi" w:eastAsiaTheme="majorEastAsia" w:hAnsiTheme="majorHAnsi" w:cstheme="majorBidi"/>
      <w:color w:val="2C7496"/>
      <w:sz w:val="32"/>
      <w:szCs w:val="32"/>
    </w:rPr>
  </w:style>
  <w:style w:type="paragraph" w:styleId="Title">
    <w:name w:val="Title"/>
    <w:basedOn w:val="Normal"/>
    <w:next w:val="Normal"/>
    <w:link w:val="TitleChar"/>
    <w:uiPriority w:val="10"/>
    <w:qFormat/>
    <w:rsid w:val="001F0E11"/>
    <w:pPr>
      <w:spacing w:line="240" w:lineRule="auto"/>
      <w:contextualSpacing/>
    </w:pPr>
    <w:rPr>
      <w:rFonts w:asciiTheme="majorHAnsi" w:eastAsiaTheme="majorEastAsia" w:hAnsiTheme="majorHAnsi" w:cstheme="majorBidi"/>
      <w:b/>
      <w:caps/>
      <w:color w:val="FFFFFF" w:themeColor="background1"/>
      <w:spacing w:val="-10"/>
      <w:kern w:val="28"/>
      <w:sz w:val="50"/>
      <w:szCs w:val="56"/>
    </w:rPr>
  </w:style>
  <w:style w:type="character" w:customStyle="1" w:styleId="TitleChar">
    <w:name w:val="Title Char"/>
    <w:basedOn w:val="DefaultParagraphFont"/>
    <w:link w:val="Title"/>
    <w:uiPriority w:val="10"/>
    <w:rsid w:val="001F0E11"/>
    <w:rPr>
      <w:rFonts w:asciiTheme="majorHAnsi" w:eastAsiaTheme="majorEastAsia" w:hAnsiTheme="majorHAnsi" w:cstheme="majorBidi"/>
      <w:b/>
      <w:caps/>
      <w:color w:val="FFFFFF" w:themeColor="background1"/>
      <w:spacing w:val="-10"/>
      <w:kern w:val="28"/>
      <w:sz w:val="50"/>
      <w:szCs w:val="56"/>
    </w:rPr>
  </w:style>
  <w:style w:type="paragraph" w:styleId="Subtitle">
    <w:name w:val="Subtitle"/>
    <w:basedOn w:val="Normal"/>
    <w:next w:val="Normal"/>
    <w:link w:val="SubtitleChar"/>
    <w:uiPriority w:val="11"/>
    <w:qFormat/>
    <w:rsid w:val="001F0E11"/>
    <w:pPr>
      <w:numPr>
        <w:ilvl w:val="1"/>
      </w:numPr>
    </w:pPr>
    <w:rPr>
      <w:rFonts w:eastAsiaTheme="minorEastAsia"/>
      <w:caps/>
      <w:color w:val="003C67"/>
      <w:spacing w:val="15"/>
      <w:sz w:val="24"/>
    </w:rPr>
  </w:style>
  <w:style w:type="character" w:customStyle="1" w:styleId="SubtitleChar">
    <w:name w:val="Subtitle Char"/>
    <w:basedOn w:val="DefaultParagraphFont"/>
    <w:link w:val="Subtitle"/>
    <w:uiPriority w:val="11"/>
    <w:rsid w:val="001F0E11"/>
    <w:rPr>
      <w:rFonts w:eastAsiaTheme="minorEastAsia"/>
      <w:caps/>
      <w:color w:val="003C67"/>
      <w:spacing w:val="15"/>
      <w:sz w:val="24"/>
    </w:rPr>
  </w:style>
  <w:style w:type="table" w:styleId="TableGrid">
    <w:name w:val="Table Grid"/>
    <w:basedOn w:val="TableNormal"/>
    <w:uiPriority w:val="59"/>
    <w:rsid w:val="001F0E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F0E11"/>
    <w:rPr>
      <w:color w:val="808080"/>
    </w:rPr>
  </w:style>
  <w:style w:type="paragraph" w:styleId="BalloonText">
    <w:name w:val="Balloon Text"/>
    <w:basedOn w:val="Normal"/>
    <w:link w:val="BalloonTextChar"/>
    <w:uiPriority w:val="99"/>
    <w:semiHidden/>
    <w:rsid w:val="00542BC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2BCD"/>
    <w:rPr>
      <w:rFonts w:ascii="Tahoma" w:hAnsi="Tahoma" w:cs="Tahoma"/>
      <w:sz w:val="16"/>
      <w:szCs w:val="16"/>
      <w:lang w:val="en-GB"/>
    </w:rPr>
  </w:style>
  <w:style w:type="paragraph" w:styleId="ListParagraph">
    <w:name w:val="List Paragraph"/>
    <w:basedOn w:val="Normal"/>
    <w:uiPriority w:val="34"/>
    <w:qFormat/>
    <w:rsid w:val="008B7A70"/>
    <w:pPr>
      <w:ind w:left="720"/>
      <w:contextualSpacing/>
    </w:pPr>
  </w:style>
  <w:style w:type="character" w:styleId="Hyperlink">
    <w:name w:val="Hyperlink"/>
    <w:basedOn w:val="DefaultParagraphFont"/>
    <w:uiPriority w:val="99"/>
    <w:unhideWhenUsed/>
    <w:rsid w:val="008B7A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bim.no"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contact@nbim.no"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corporateaccess@nbim.no"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nbim.no/en/the-fund/holdings-/"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Communications\Branding%20and%20templates\Design%20guidelines%20(KUN%20Tine%20lagrer%20her)\Office_Word\Governing%20documents\NBIM_Principl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EAA83422B36479AB87A4E9BF3DCF988"/>
        <w:category>
          <w:name w:val="General"/>
          <w:gallery w:val="placeholder"/>
        </w:category>
        <w:types>
          <w:type w:val="bbPlcHdr"/>
        </w:types>
        <w:behaviors>
          <w:behavior w:val="content"/>
        </w:behaviors>
        <w:guid w:val="{3F0F7585-DDE8-4FB2-8537-FBA252DCB11A}"/>
      </w:docPartPr>
      <w:docPartBody>
        <w:p w:rsidR="00715796" w:rsidRDefault="00D1135B" w:rsidP="00D1135B">
          <w:pPr>
            <w:pStyle w:val="2EAA83422B36479AB87A4E9BF3DCF988"/>
          </w:pPr>
          <w:r w:rsidRPr="000F533B">
            <w:rPr>
              <w:rStyle w:val="PlaceholderText"/>
            </w:rPr>
            <w:t>[Title]</w:t>
          </w:r>
        </w:p>
      </w:docPartBody>
    </w:docPart>
    <w:docPart>
      <w:docPartPr>
        <w:name w:val="FE182FD6FFF74CD691696BB80C8BFA5F"/>
        <w:category>
          <w:name w:val="General"/>
          <w:gallery w:val="placeholder"/>
        </w:category>
        <w:types>
          <w:type w:val="bbPlcHdr"/>
        </w:types>
        <w:behaviors>
          <w:behavior w:val="content"/>
        </w:behaviors>
        <w:guid w:val="{E41E4FB4-0F5D-4C43-B605-19F1A55FB1D2}"/>
      </w:docPartPr>
      <w:docPartBody>
        <w:p w:rsidR="00715796" w:rsidRDefault="00D1135B" w:rsidP="00D1135B">
          <w:pPr>
            <w:pStyle w:val="FE182FD6FFF74CD691696BB80C8BFA5F"/>
          </w:pPr>
          <w:r w:rsidRPr="000F533B">
            <w:rPr>
              <w:rStyle w:val="PlaceholderText"/>
            </w:rPr>
            <w:t>[Subtitle]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crosoft JhengHei">
    <w:altName w:val="微軟正黑體"/>
    <w:panose1 w:val="020B0604030504040204"/>
    <w:charset w:val="88"/>
    <w:family w:val="swiss"/>
    <w:pitch w:val="variable"/>
    <w:sig w:usb0="00000087" w:usb1="288F4000" w:usb2="00000016" w:usb3="00000000" w:csb0="00100009"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35B"/>
    <w:rsid w:val="00715796"/>
    <w:rsid w:val="00D1135B"/>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5796"/>
    <w:rPr>
      <w:color w:val="808080"/>
    </w:rPr>
  </w:style>
  <w:style w:type="paragraph" w:customStyle="1" w:styleId="2B0FBA4F73ED4105851BC39A002AD800">
    <w:name w:val="2B0FBA4F73ED4105851BC39A002AD800"/>
  </w:style>
  <w:style w:type="paragraph" w:customStyle="1" w:styleId="43B1B5A016B04A21A7CB3510DCD59DA4">
    <w:name w:val="43B1B5A016B04A21A7CB3510DCD59DA4"/>
  </w:style>
  <w:style w:type="paragraph" w:customStyle="1" w:styleId="BE5A042C04964D5586EEDB874B561365">
    <w:name w:val="BE5A042C04964D5586EEDB874B561365"/>
  </w:style>
  <w:style w:type="paragraph" w:customStyle="1" w:styleId="5CE68207438D484D9C8B8DA751A49ECD">
    <w:name w:val="5CE68207438D484D9C8B8DA751A49ECD"/>
  </w:style>
  <w:style w:type="paragraph" w:customStyle="1" w:styleId="7D717EDB6FA14EFE809899911BC25DEE">
    <w:name w:val="7D717EDB6FA14EFE809899911BC25DEE"/>
    <w:rsid w:val="00D1135B"/>
  </w:style>
  <w:style w:type="paragraph" w:customStyle="1" w:styleId="CD3BC21F32CD4FDD9774307FAE4403F3">
    <w:name w:val="CD3BC21F32CD4FDD9774307FAE4403F3"/>
    <w:rsid w:val="00D1135B"/>
  </w:style>
  <w:style w:type="paragraph" w:customStyle="1" w:styleId="2EAA83422B36479AB87A4E9BF3DCF988">
    <w:name w:val="2EAA83422B36479AB87A4E9BF3DCF988"/>
    <w:rsid w:val="00D1135B"/>
  </w:style>
  <w:style w:type="paragraph" w:customStyle="1" w:styleId="FE182FD6FFF74CD691696BB80C8BFA5F">
    <w:name w:val="FE182FD6FFF74CD691696BB80C8BFA5F"/>
    <w:rsid w:val="00D1135B"/>
  </w:style>
  <w:style w:type="paragraph" w:customStyle="1" w:styleId="A3B89068AE7443C583259D06C4431EBB">
    <w:name w:val="A3B89068AE7443C583259D06C4431EBB"/>
    <w:rsid w:val="00715796"/>
  </w:style>
  <w:style w:type="paragraph" w:customStyle="1" w:styleId="A9B7F0D5F9EB440EB8AC4795F2F9D530">
    <w:name w:val="A9B7F0D5F9EB440EB8AC4795F2F9D530"/>
    <w:rsid w:val="00715796"/>
  </w:style>
  <w:style w:type="paragraph" w:customStyle="1" w:styleId="9B500A30590142A0B640CC58D5AA640D">
    <w:name w:val="9B500A30590142A0B640CC58D5AA640D"/>
    <w:rsid w:val="00715796"/>
  </w:style>
  <w:style w:type="paragraph" w:customStyle="1" w:styleId="F6C22143AAB14EA48D515143450EB25B">
    <w:name w:val="F6C22143AAB14EA48D515143450EB25B"/>
    <w:rsid w:val="00715796"/>
  </w:style>
  <w:style w:type="paragraph" w:customStyle="1" w:styleId="A825F747EA2640FE89E9D7ABAD04352F">
    <w:name w:val="A825F747EA2640FE89E9D7ABAD04352F"/>
    <w:rsid w:val="00715796"/>
  </w:style>
  <w:style w:type="paragraph" w:customStyle="1" w:styleId="FA94579C5640435FA73BD36B2FFF75F5">
    <w:name w:val="FA94579C5640435FA73BD36B2FFF75F5"/>
    <w:rsid w:val="00715796"/>
  </w:style>
  <w:style w:type="paragraph" w:customStyle="1" w:styleId="9B4D9940737945959ABE1FB02A7F3F2F">
    <w:name w:val="9B4D9940737945959ABE1FB02A7F3F2F"/>
    <w:rsid w:val="00715796"/>
  </w:style>
  <w:style w:type="paragraph" w:customStyle="1" w:styleId="FCF947EED922401BB2DD5D9B012314D1">
    <w:name w:val="FCF947EED922401BB2DD5D9B012314D1"/>
    <w:rsid w:val="0071579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5796"/>
    <w:rPr>
      <w:color w:val="808080"/>
    </w:rPr>
  </w:style>
  <w:style w:type="paragraph" w:customStyle="1" w:styleId="2B0FBA4F73ED4105851BC39A002AD800">
    <w:name w:val="2B0FBA4F73ED4105851BC39A002AD800"/>
  </w:style>
  <w:style w:type="paragraph" w:customStyle="1" w:styleId="43B1B5A016B04A21A7CB3510DCD59DA4">
    <w:name w:val="43B1B5A016B04A21A7CB3510DCD59DA4"/>
  </w:style>
  <w:style w:type="paragraph" w:customStyle="1" w:styleId="BE5A042C04964D5586EEDB874B561365">
    <w:name w:val="BE5A042C04964D5586EEDB874B561365"/>
  </w:style>
  <w:style w:type="paragraph" w:customStyle="1" w:styleId="5CE68207438D484D9C8B8DA751A49ECD">
    <w:name w:val="5CE68207438D484D9C8B8DA751A49ECD"/>
  </w:style>
  <w:style w:type="paragraph" w:customStyle="1" w:styleId="7D717EDB6FA14EFE809899911BC25DEE">
    <w:name w:val="7D717EDB6FA14EFE809899911BC25DEE"/>
    <w:rsid w:val="00D1135B"/>
  </w:style>
  <w:style w:type="paragraph" w:customStyle="1" w:styleId="CD3BC21F32CD4FDD9774307FAE4403F3">
    <w:name w:val="CD3BC21F32CD4FDD9774307FAE4403F3"/>
    <w:rsid w:val="00D1135B"/>
  </w:style>
  <w:style w:type="paragraph" w:customStyle="1" w:styleId="2EAA83422B36479AB87A4E9BF3DCF988">
    <w:name w:val="2EAA83422B36479AB87A4E9BF3DCF988"/>
    <w:rsid w:val="00D1135B"/>
  </w:style>
  <w:style w:type="paragraph" w:customStyle="1" w:styleId="FE182FD6FFF74CD691696BB80C8BFA5F">
    <w:name w:val="FE182FD6FFF74CD691696BB80C8BFA5F"/>
    <w:rsid w:val="00D1135B"/>
  </w:style>
  <w:style w:type="paragraph" w:customStyle="1" w:styleId="A3B89068AE7443C583259D06C4431EBB">
    <w:name w:val="A3B89068AE7443C583259D06C4431EBB"/>
    <w:rsid w:val="00715796"/>
  </w:style>
  <w:style w:type="paragraph" w:customStyle="1" w:styleId="A9B7F0D5F9EB440EB8AC4795F2F9D530">
    <w:name w:val="A9B7F0D5F9EB440EB8AC4795F2F9D530"/>
    <w:rsid w:val="00715796"/>
  </w:style>
  <w:style w:type="paragraph" w:customStyle="1" w:styleId="9B500A30590142A0B640CC58D5AA640D">
    <w:name w:val="9B500A30590142A0B640CC58D5AA640D"/>
    <w:rsid w:val="00715796"/>
  </w:style>
  <w:style w:type="paragraph" w:customStyle="1" w:styleId="F6C22143AAB14EA48D515143450EB25B">
    <w:name w:val="F6C22143AAB14EA48D515143450EB25B"/>
    <w:rsid w:val="00715796"/>
  </w:style>
  <w:style w:type="paragraph" w:customStyle="1" w:styleId="A825F747EA2640FE89E9D7ABAD04352F">
    <w:name w:val="A825F747EA2640FE89E9D7ABAD04352F"/>
    <w:rsid w:val="00715796"/>
  </w:style>
  <w:style w:type="paragraph" w:customStyle="1" w:styleId="FA94579C5640435FA73BD36B2FFF75F5">
    <w:name w:val="FA94579C5640435FA73BD36B2FFF75F5"/>
    <w:rsid w:val="00715796"/>
  </w:style>
  <w:style w:type="paragraph" w:customStyle="1" w:styleId="9B4D9940737945959ABE1FB02A7F3F2F">
    <w:name w:val="9B4D9940737945959ABE1FB02A7F3F2F"/>
    <w:rsid w:val="00715796"/>
  </w:style>
  <w:style w:type="paragraph" w:customStyle="1" w:styleId="FCF947EED922401BB2DD5D9B012314D1">
    <w:name w:val="FCF947EED922401BB2DD5D9B012314D1"/>
    <w:rsid w:val="007157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root>
</file>

<file path=customXml/itemProps1.xml><?xml version="1.0" encoding="utf-8"?>
<ds:datastoreItem xmlns:ds="http://schemas.openxmlformats.org/officeDocument/2006/customXml" ds:itemID="{F26BF2D5-C8EA-4F55-957E-8B3E41818D74}">
  <ds:schemaRefs/>
</ds:datastoreItem>
</file>

<file path=docProps/app.xml><?xml version="1.0" encoding="utf-8"?>
<Properties xmlns="http://schemas.openxmlformats.org/officeDocument/2006/extended-properties" xmlns:vt="http://schemas.openxmlformats.org/officeDocument/2006/docPropsVTypes">
  <Template>NBIM_Principles</Template>
  <TotalTime>2</TotalTime>
  <Pages>2</Pages>
  <Words>685</Words>
  <Characters>4514</Characters>
  <Application>Microsoft Office Word</Application>
  <DocSecurity>0</DocSecurity>
  <Lines>644</Lines>
  <Paragraphs>346</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Norges Bank Investment Management</Company>
  <LinksUpToDate>false</LinksUpToDate>
  <CharactersWithSpaces>4853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Andersen, Tine Elise</dc:creator>
  <cp:lastModifiedBy>Andersen, Tine Elise</cp:lastModifiedBy>
  <cp:revision>3</cp:revision>
  <cp:lastPrinted>2014-06-05T07:49:00Z</cp:lastPrinted>
  <dcterms:created xsi:type="dcterms:W3CDTF">2014-06-05T08:33:00Z</dcterms:created>
  <dcterms:modified xsi:type="dcterms:W3CDTF">2014-06-05T08:35:00Z</dcterms:modified>
</cp:coreProperties>
</file>